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021" w:type="dxa"/>
        <w:jc w:val="left"/>
        <w:tblInd w:w="0" w:type="dxa"/>
        <w:tblLayout w:type="fixed"/>
        <w:tblCellMar>
          <w:top w:w="28" w:type="dxa"/>
          <w:left w:w="28" w:type="dxa"/>
          <w:bottom w:w="28" w:type="dxa"/>
          <w:right w:w="28" w:type="dxa"/>
        </w:tblCellMar>
      </w:tblPr>
      <w:tblGrid>
        <w:gridCol w:w="7021"/>
      </w:tblGrid>
      <w:tr>
        <w:trPr/>
        <w:tc>
          <w:tcPr>
            <w:tcW w:w="702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02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021" w:type="dxa"/>
            <w:tcBorders/>
            <w:vAlign w:val="center"/>
          </w:tcPr>
          <w:p>
            <w:pPr>
              <w:pStyle w:val="TableContents"/>
              <w:bidi w:val="0"/>
              <w:spacing w:before="0" w:after="0"/>
              <w:jc w:val="left"/>
              <w:rPr/>
            </w:pPr>
            <w:r>
              <w:rPr/>
              <w:t xml:space="preserve">UNDER THE SECURITIES EXCHANGE ACT OF 1934 </w:t>
            </w:r>
          </w:p>
        </w:tc>
      </w:tr>
      <w:tr>
        <w:trPr/>
        <w:tc>
          <w:tcPr>
            <w:tcW w:w="702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7021" w:type="dxa"/>
            <w:tcBorders/>
            <w:vAlign w:val="center"/>
          </w:tcPr>
          <w:p>
            <w:pPr>
              <w:pStyle w:val="TableContents"/>
              <w:bidi w:val="0"/>
              <w:spacing w:before="0" w:after="0"/>
              <w:jc w:val="center"/>
              <w:rPr>
                <w:b/>
                <w:color w:val="0000FF"/>
              </w:rPr>
            </w:pPr>
            <w:r>
              <w:rPr>
                <w:b/>
                <w:color w:val="0000FF"/>
              </w:rPr>
              <w:t>CHARLES RIVER LABORATORIES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021"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02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02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4,190,715.80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4,239,751.47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4,239,751.47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4,239,751.47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4,239,751.47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CHARLES RIVER LABORATORIES INTERNATIONAL,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251 Ballardvale St,Wilmington,MA,US,01887</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4239751.47</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4239751.47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CHARLES RIVER LABORATORIES INTERNATIONAL, INC.. No one other person's interest in the COMMON STOCK of CHARLES RIVER LABORATORIES INTERNATIONAL,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CHARLES RIVER LABORATORIES</w:t>
      </w:r>
    </w:p>
    <w:p>
      <w:pPr>
        <w:pStyle w:val="PreformattedText"/>
        <w:bidi w:val="0"/>
        <w:spacing w:before="0" w:after="0"/>
        <w:jc w:val="left"/>
        <w:rPr/>
      </w:pPr>
      <w:r>
        <w:rPr/>
        <w:t>INTERNATIONAL,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1644</Words>
  <Characters>8499</Characters>
  <CharactersWithSpaces>10065</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