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October 23, 2019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CHARLES RIVER LABORATORIES INTERNATIONAL,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780" w:type="dxa"/>
            <w:vAlign w:val="bottom"/>
            <w:gridSpan w:val="2"/>
          </w:tcPr>
          <w:p>
            <w:pPr>
              <w:jc w:val="center"/>
              <w:ind w:right="3530"/>
              <w:spacing w:after="0"/>
              <w:rPr>
                <w:sz w:val="20"/>
                <w:szCs w:val="20"/>
                <w:color w:val="auto"/>
              </w:rPr>
            </w:pPr>
            <w:r>
              <w:rPr>
                <w:rFonts w:ascii="Arial" w:cs="Arial" w:eastAsia="Arial" w:hAnsi="Arial"/>
                <w:sz w:val="18"/>
                <w:szCs w:val="18"/>
                <w:color w:val="auto"/>
                <w:w w:val="91"/>
              </w:rPr>
              <w:t>(Exact Name of Registrant as Specified in Charter)</w:t>
            </w:r>
          </w:p>
        </w:tc>
      </w:tr>
      <w:tr>
        <w:trPr>
          <w:trHeight w:val="578"/>
        </w:trPr>
        <w:tc>
          <w:tcPr>
            <w:tcW w:w="36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Delaware</w:t>
            </w:r>
          </w:p>
        </w:tc>
        <w:tc>
          <w:tcPr>
            <w:tcW w:w="3580" w:type="dxa"/>
            <w:vAlign w:val="bottom"/>
          </w:tcPr>
          <w:p>
            <w:pPr>
              <w:jc w:val="center"/>
              <w:ind w:left="470"/>
              <w:spacing w:after="0"/>
              <w:rPr>
                <w:sz w:val="20"/>
                <w:szCs w:val="20"/>
                <w:color w:val="auto"/>
              </w:rPr>
            </w:pPr>
            <w:r>
              <w:rPr>
                <w:rFonts w:ascii="Arial" w:cs="Arial" w:eastAsia="Arial" w:hAnsi="Arial"/>
                <w:sz w:val="18"/>
                <w:szCs w:val="18"/>
                <w:b w:val="1"/>
                <w:bCs w:val="1"/>
                <w:color w:val="auto"/>
                <w:w w:val="90"/>
              </w:rPr>
              <w:t>001-15943</w:t>
            </w:r>
          </w:p>
        </w:tc>
        <w:tc>
          <w:tcPr>
            <w:tcW w:w="4200" w:type="dxa"/>
            <w:vAlign w:val="bottom"/>
          </w:tcPr>
          <w:p>
            <w:pPr>
              <w:jc w:val="center"/>
              <w:ind w:left="310"/>
              <w:spacing w:after="0"/>
              <w:rPr>
                <w:sz w:val="20"/>
                <w:szCs w:val="20"/>
                <w:color w:val="auto"/>
              </w:rPr>
            </w:pPr>
            <w:r>
              <w:rPr>
                <w:rFonts w:ascii="Arial" w:cs="Arial" w:eastAsia="Arial" w:hAnsi="Arial"/>
                <w:sz w:val="18"/>
                <w:szCs w:val="18"/>
                <w:b w:val="1"/>
                <w:bCs w:val="1"/>
                <w:color w:val="auto"/>
                <w:w w:val="91"/>
              </w:rPr>
              <w:t>06-1397316</w:t>
            </w:r>
          </w:p>
        </w:tc>
      </w:tr>
      <w:tr>
        <w:trPr>
          <w:trHeight w:val="256"/>
        </w:trPr>
        <w:tc>
          <w:tcPr>
            <w:tcW w:w="3640" w:type="dxa"/>
            <w:vAlign w:val="bottom"/>
          </w:tcPr>
          <w:p>
            <w:pPr>
              <w:jc w:val="center"/>
              <w:ind w:left="50"/>
              <w:spacing w:after="0"/>
              <w:rPr>
                <w:sz w:val="20"/>
                <w:szCs w:val="20"/>
                <w:color w:val="auto"/>
              </w:rPr>
            </w:pPr>
            <w:r>
              <w:rPr>
                <w:rFonts w:ascii="Arial" w:cs="Arial" w:eastAsia="Arial" w:hAnsi="Arial"/>
                <w:sz w:val="18"/>
                <w:szCs w:val="18"/>
                <w:color w:val="auto"/>
                <w:w w:val="88"/>
              </w:rPr>
              <w:t>(State or Other</w:t>
            </w:r>
          </w:p>
        </w:tc>
        <w:tc>
          <w:tcPr>
            <w:tcW w:w="3580" w:type="dxa"/>
            <w:vAlign w:val="bottom"/>
          </w:tcPr>
          <w:p>
            <w:pPr>
              <w:jc w:val="center"/>
              <w:ind w:left="470"/>
              <w:spacing w:after="0"/>
              <w:rPr>
                <w:sz w:val="20"/>
                <w:szCs w:val="20"/>
                <w:color w:val="auto"/>
              </w:rPr>
            </w:pPr>
            <w:r>
              <w:rPr>
                <w:rFonts w:ascii="Arial" w:cs="Arial" w:eastAsia="Arial" w:hAnsi="Arial"/>
                <w:sz w:val="18"/>
                <w:szCs w:val="18"/>
                <w:color w:val="auto"/>
                <w:w w:val="92"/>
              </w:rPr>
              <w:t>(Commission File Number)</w:t>
            </w:r>
          </w:p>
        </w:tc>
        <w:tc>
          <w:tcPr>
            <w:tcW w:w="4200" w:type="dxa"/>
            <w:vAlign w:val="bottom"/>
          </w:tcPr>
          <w:p>
            <w:pPr>
              <w:jc w:val="center"/>
              <w:ind w:left="290"/>
              <w:spacing w:after="0"/>
              <w:rPr>
                <w:sz w:val="20"/>
                <w:szCs w:val="20"/>
                <w:color w:val="auto"/>
              </w:rPr>
            </w:pPr>
            <w:r>
              <w:rPr>
                <w:rFonts w:ascii="Arial" w:cs="Arial" w:eastAsia="Arial" w:hAnsi="Arial"/>
                <w:sz w:val="18"/>
                <w:szCs w:val="18"/>
                <w:color w:val="auto"/>
                <w:w w:val="93"/>
              </w:rPr>
              <w:t>(IRS Employer</w:t>
            </w:r>
          </w:p>
        </w:tc>
      </w:tr>
      <w:tr>
        <w:trPr>
          <w:trHeight w:val="230"/>
        </w:trPr>
        <w:tc>
          <w:tcPr>
            <w:tcW w:w="3640" w:type="dxa"/>
            <w:vAlign w:val="bottom"/>
          </w:tcPr>
          <w:p>
            <w:pPr>
              <w:jc w:val="center"/>
              <w:ind w:left="70"/>
              <w:spacing w:after="0"/>
              <w:rPr>
                <w:sz w:val="20"/>
                <w:szCs w:val="20"/>
                <w:color w:val="auto"/>
              </w:rPr>
            </w:pPr>
            <w:r>
              <w:rPr>
                <w:rFonts w:ascii="Arial" w:cs="Arial" w:eastAsia="Arial" w:hAnsi="Arial"/>
                <w:sz w:val="18"/>
                <w:szCs w:val="18"/>
                <w:color w:val="auto"/>
                <w:w w:val="93"/>
              </w:rPr>
              <w:t>Jurisdiction of Incorporation)</w:t>
            </w:r>
          </w:p>
        </w:tc>
        <w:tc>
          <w:tcPr>
            <w:tcW w:w="3580" w:type="dxa"/>
            <w:vAlign w:val="bottom"/>
          </w:tcPr>
          <w:p>
            <w:pPr>
              <w:spacing w:after="0"/>
              <w:rPr>
                <w:sz w:val="20"/>
                <w:szCs w:val="20"/>
                <w:color w:val="auto"/>
              </w:rPr>
            </w:pPr>
          </w:p>
        </w:tc>
        <w:tc>
          <w:tcPr>
            <w:tcW w:w="4200" w:type="dxa"/>
            <w:vAlign w:val="bottom"/>
          </w:tcPr>
          <w:p>
            <w:pPr>
              <w:jc w:val="center"/>
              <w:ind w:left="29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3640" w:type="dxa"/>
            <w:vAlign w:val="bottom"/>
          </w:tcPr>
          <w:p>
            <w:pPr>
              <w:spacing w:after="0"/>
              <w:rPr>
                <w:sz w:val="24"/>
                <w:szCs w:val="24"/>
                <w:color w:val="auto"/>
              </w:rPr>
            </w:pPr>
          </w:p>
        </w:tc>
        <w:tc>
          <w:tcPr>
            <w:tcW w:w="3580" w:type="dxa"/>
            <w:vAlign w:val="bottom"/>
          </w:tcPr>
          <w:p>
            <w:pPr>
              <w:jc w:val="center"/>
              <w:ind w:left="470"/>
              <w:spacing w:after="0"/>
              <w:rPr>
                <w:sz w:val="20"/>
                <w:szCs w:val="20"/>
                <w:color w:val="auto"/>
              </w:rPr>
            </w:pPr>
            <w:r>
              <w:rPr>
                <w:rFonts w:ascii="Arial" w:cs="Arial" w:eastAsia="Arial" w:hAnsi="Arial"/>
                <w:sz w:val="18"/>
                <w:szCs w:val="18"/>
                <w:b w:val="1"/>
                <w:bCs w:val="1"/>
                <w:color w:val="auto"/>
                <w:w w:val="90"/>
              </w:rPr>
              <w:t>251 Ballardvale Street</w:t>
            </w:r>
          </w:p>
        </w:tc>
        <w:tc>
          <w:tcPr>
            <w:tcW w:w="4200" w:type="dxa"/>
            <w:vAlign w:val="bottom"/>
          </w:tcPr>
          <w:p>
            <w:pPr>
              <w:spacing w:after="0"/>
              <w:rPr>
                <w:sz w:val="24"/>
                <w:szCs w:val="24"/>
                <w:color w:val="auto"/>
              </w:rPr>
            </w:pPr>
          </w:p>
        </w:tc>
      </w:tr>
      <w:tr>
        <w:trPr>
          <w:trHeight w:val="220"/>
        </w:trPr>
        <w:tc>
          <w:tcPr>
            <w:tcW w:w="3640" w:type="dxa"/>
            <w:vAlign w:val="bottom"/>
          </w:tcPr>
          <w:p>
            <w:pPr>
              <w:spacing w:after="0"/>
              <w:rPr>
                <w:sz w:val="19"/>
                <w:szCs w:val="19"/>
                <w:color w:val="auto"/>
              </w:rPr>
            </w:pPr>
          </w:p>
        </w:tc>
        <w:tc>
          <w:tcPr>
            <w:tcW w:w="3580" w:type="dxa"/>
            <w:vAlign w:val="bottom"/>
          </w:tcPr>
          <w:p>
            <w:pPr>
              <w:jc w:val="center"/>
              <w:ind w:left="470"/>
              <w:spacing w:after="0"/>
              <w:rPr>
                <w:sz w:val="20"/>
                <w:szCs w:val="20"/>
                <w:color w:val="auto"/>
              </w:rPr>
            </w:pPr>
            <w:r>
              <w:rPr>
                <w:rFonts w:ascii="Arial" w:cs="Arial" w:eastAsia="Arial" w:hAnsi="Arial"/>
                <w:sz w:val="18"/>
                <w:szCs w:val="18"/>
                <w:b w:val="1"/>
                <w:bCs w:val="1"/>
                <w:color w:val="auto"/>
                <w:w w:val="89"/>
              </w:rPr>
              <w:t xml:space="preserve">Wilmington, Massachusetts </w:t>
            </w:r>
            <w:r>
              <w:rPr>
                <w:rFonts w:ascii="Arial" w:cs="Arial" w:eastAsia="Arial" w:hAnsi="Arial"/>
                <w:sz w:val="18"/>
                <w:szCs w:val="18"/>
                <w:color w:val="auto"/>
                <w:w w:val="89"/>
              </w:rPr>
              <w:t>01887</w:t>
            </w:r>
          </w:p>
        </w:tc>
        <w:tc>
          <w:tcPr>
            <w:tcW w:w="4200" w:type="dxa"/>
            <w:vAlign w:val="bottom"/>
          </w:tcPr>
          <w:p>
            <w:pPr>
              <w:spacing w:after="0"/>
              <w:rPr>
                <w:sz w:val="19"/>
                <w:szCs w:val="19"/>
                <w:color w:val="auto"/>
              </w:rPr>
            </w:pPr>
          </w:p>
        </w:tc>
      </w:tr>
      <w:tr>
        <w:trPr>
          <w:trHeight w:val="230"/>
        </w:trPr>
        <w:tc>
          <w:tcPr>
            <w:tcW w:w="3640" w:type="dxa"/>
            <w:vAlign w:val="bottom"/>
          </w:tcPr>
          <w:p>
            <w:pPr>
              <w:spacing w:after="0"/>
              <w:rPr>
                <w:sz w:val="20"/>
                <w:szCs w:val="20"/>
                <w:color w:val="auto"/>
              </w:rPr>
            </w:pPr>
          </w:p>
        </w:tc>
        <w:tc>
          <w:tcPr>
            <w:tcW w:w="7780" w:type="dxa"/>
            <w:vAlign w:val="bottom"/>
            <w:gridSpan w:val="2"/>
          </w:tcPr>
          <w:p>
            <w:pPr>
              <w:jc w:val="center"/>
              <w:ind w:right="3550"/>
              <w:spacing w:after="0"/>
              <w:rPr>
                <w:sz w:val="20"/>
                <w:szCs w:val="20"/>
                <w:color w:val="auto"/>
              </w:rPr>
            </w:pPr>
            <w:r>
              <w:rPr>
                <w:rFonts w:ascii="Arial" w:cs="Arial" w:eastAsia="Arial" w:hAnsi="Arial"/>
                <w:sz w:val="18"/>
                <w:szCs w:val="18"/>
                <w:color w:val="auto"/>
                <w:w w:val="93"/>
              </w:rPr>
              <w:t>(Address of Principal Executive Offices) (Zip Code)</w:t>
            </w:r>
          </w:p>
        </w:tc>
      </w:tr>
      <w:tr>
        <w:trPr>
          <w:trHeight w:val="418"/>
        </w:trPr>
        <w:tc>
          <w:tcPr>
            <w:tcW w:w="3640" w:type="dxa"/>
            <w:vAlign w:val="bottom"/>
          </w:tcPr>
          <w:p>
            <w:pPr>
              <w:spacing w:after="0"/>
              <w:rPr>
                <w:sz w:val="24"/>
                <w:szCs w:val="24"/>
                <w:color w:val="auto"/>
              </w:rPr>
            </w:pPr>
          </w:p>
        </w:tc>
        <w:tc>
          <w:tcPr>
            <w:tcW w:w="3580" w:type="dxa"/>
            <w:vAlign w:val="bottom"/>
          </w:tcPr>
          <w:p>
            <w:pPr>
              <w:jc w:val="center"/>
              <w:ind w:left="470"/>
              <w:spacing w:after="0"/>
              <w:rPr>
                <w:sz w:val="20"/>
                <w:szCs w:val="20"/>
                <w:color w:val="auto"/>
              </w:rPr>
            </w:pPr>
            <w:r>
              <w:rPr>
                <w:rFonts w:ascii="Arial" w:cs="Arial" w:eastAsia="Arial" w:hAnsi="Arial"/>
                <w:sz w:val="18"/>
                <w:szCs w:val="18"/>
                <w:b w:val="1"/>
                <w:bCs w:val="1"/>
                <w:color w:val="auto"/>
                <w:w w:val="90"/>
              </w:rPr>
              <w:t>781-222-6000</w:t>
            </w:r>
          </w:p>
        </w:tc>
        <w:tc>
          <w:tcPr>
            <w:tcW w:w="420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p>
        </w:tc>
        <w:tc>
          <w:tcPr>
            <w:tcW w:w="7780" w:type="dxa"/>
            <w:vAlign w:val="bottom"/>
            <w:gridSpan w:val="2"/>
          </w:tcPr>
          <w:p>
            <w:pPr>
              <w:jc w:val="center"/>
              <w:ind w:right="355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32"/>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78"/>
        </w:trPr>
        <w:tc>
          <w:tcPr>
            <w:tcW w:w="3640" w:type="dxa"/>
            <w:vAlign w:val="bottom"/>
          </w:tcPr>
          <w:p>
            <w:pPr>
              <w:jc w:val="center"/>
              <w:ind w:left="1090"/>
              <w:spacing w:after="0"/>
              <w:rPr>
                <w:sz w:val="20"/>
                <w:szCs w:val="20"/>
                <w:color w:val="auto"/>
              </w:rPr>
            </w:pPr>
            <w:r>
              <w:rPr>
                <w:rFonts w:ascii="Arial" w:cs="Arial" w:eastAsia="Arial" w:hAnsi="Arial"/>
                <w:sz w:val="18"/>
                <w:szCs w:val="18"/>
                <w:color w:val="auto"/>
                <w:w w:val="90"/>
              </w:rPr>
              <w:t>Title of each class</w:t>
            </w:r>
          </w:p>
        </w:tc>
        <w:tc>
          <w:tcPr>
            <w:tcW w:w="3580" w:type="dxa"/>
            <w:vAlign w:val="bottom"/>
          </w:tcPr>
          <w:p>
            <w:pPr>
              <w:jc w:val="center"/>
              <w:ind w:left="490"/>
              <w:spacing w:after="0"/>
              <w:rPr>
                <w:sz w:val="20"/>
                <w:szCs w:val="20"/>
                <w:color w:val="auto"/>
              </w:rPr>
            </w:pPr>
            <w:r>
              <w:rPr>
                <w:rFonts w:ascii="Arial" w:cs="Arial" w:eastAsia="Arial" w:hAnsi="Arial"/>
                <w:sz w:val="18"/>
                <w:szCs w:val="18"/>
                <w:color w:val="auto"/>
                <w:w w:val="92"/>
              </w:rPr>
              <w:t>Trading Symbol(s)</w:t>
            </w:r>
          </w:p>
        </w:tc>
        <w:tc>
          <w:tcPr>
            <w:tcW w:w="4200" w:type="dxa"/>
            <w:vAlign w:val="bottom"/>
          </w:tcPr>
          <w:p>
            <w:pPr>
              <w:jc w:val="center"/>
              <w:ind w:right="490"/>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6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jc w:val="center"/>
              <w:ind w:left="1090"/>
              <w:spacing w:after="0"/>
              <w:rPr>
                <w:sz w:val="20"/>
                <w:szCs w:val="20"/>
                <w:color w:val="auto"/>
              </w:rPr>
            </w:pPr>
            <w:r>
              <w:rPr>
                <w:rFonts w:ascii="Arial" w:cs="Arial" w:eastAsia="Arial" w:hAnsi="Arial"/>
                <w:sz w:val="18"/>
                <w:szCs w:val="18"/>
                <w:color w:val="auto"/>
                <w:w w:val="90"/>
              </w:rPr>
              <w:t>Common stock, $0.01 par value</w:t>
            </w:r>
          </w:p>
        </w:tc>
        <w:tc>
          <w:tcPr>
            <w:tcW w:w="3580" w:type="dxa"/>
            <w:vAlign w:val="bottom"/>
          </w:tcPr>
          <w:p>
            <w:pPr>
              <w:jc w:val="center"/>
              <w:ind w:left="490"/>
              <w:spacing w:after="0"/>
              <w:rPr>
                <w:sz w:val="20"/>
                <w:szCs w:val="20"/>
                <w:color w:val="auto"/>
              </w:rPr>
            </w:pPr>
            <w:r>
              <w:rPr>
                <w:rFonts w:ascii="Arial" w:cs="Arial" w:eastAsia="Arial" w:hAnsi="Arial"/>
                <w:sz w:val="18"/>
                <w:szCs w:val="18"/>
                <w:color w:val="auto"/>
                <w:w w:val="99"/>
              </w:rPr>
              <w:t>CRL</w:t>
            </w:r>
          </w:p>
        </w:tc>
        <w:tc>
          <w:tcPr>
            <w:tcW w:w="4200" w:type="dxa"/>
            <w:vAlign w:val="bottom"/>
          </w:tcPr>
          <w:p>
            <w:pPr>
              <w:jc w:val="center"/>
              <w:ind w:right="490"/>
              <w:spacing w:after="0"/>
              <w:rPr>
                <w:sz w:val="20"/>
                <w:szCs w:val="20"/>
                <w:color w:val="auto"/>
              </w:rPr>
            </w:pPr>
            <w:r>
              <w:rPr>
                <w:rFonts w:ascii="Arial" w:cs="Arial" w:eastAsia="Arial" w:hAnsi="Arial"/>
                <w:sz w:val="18"/>
                <w:szCs w:val="18"/>
                <w:color w:val="auto"/>
                <w:w w:val="91"/>
              </w:rPr>
              <w:t>New York Stock Exchange</w:t>
            </w:r>
          </w:p>
        </w:tc>
      </w:tr>
    </w:tbl>
    <w:p>
      <w:pPr>
        <w:spacing w:after="0" w:line="1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7"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87"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87"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Indenture and Notes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On October 23, 2019, Charles River Laboratories International, Inc., a Delaware corporation (“Charles River” or the “Company”) entered into a</w:t>
      </w:r>
      <w:r>
        <w:rPr>
          <w:rFonts w:ascii="Arial" w:cs="Arial" w:eastAsia="Arial" w:hAnsi="Arial"/>
          <w:sz w:val="17"/>
          <w:szCs w:val="17"/>
          <w:i w:val="1"/>
          <w:iCs w:val="1"/>
          <w:color w:val="auto"/>
        </w:rPr>
        <w:t xml:space="preserve"> </w:t>
      </w:r>
      <w:r>
        <w:rPr>
          <w:rFonts w:ascii="Arial" w:cs="Arial" w:eastAsia="Arial" w:hAnsi="Arial"/>
          <w:sz w:val="17"/>
          <w:szCs w:val="17"/>
          <w:color w:val="auto"/>
        </w:rPr>
        <w:t>second supplemental indenture (the “Second Supplemental Indenture”) by and among the Company, certain of the Company’s U.S. subsidiaries, Charles River Laboratories Ashland, LLC, Charles River Laboratories I Delaware Holdings, Inc., Charles River Laboratories II Delaware Holdings, Inc., Charles River Laboratories SA USA, Inc., Charles River Laboratories, Inc. and CRL Safety Assessment, Inc. (collectively, the “Guarantors”), and MUFG Union Bank, N.A., as trustee (the “Trustee”), to the base indenture dated April 3, 2018 by and among the Company and the Trustee, in connection with the offering of $500 million aggregate principal amount of the Company’s 4.250% Senior Notes due 2028 (the “Notes”). A copy of the Second Supplemental Indenture is filed as Exhibit 4.1 to this Current Report on Form 8-K and incorporated herein by reference.</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Principal, Maturity and Interest</w:t>
      </w:r>
      <w:r>
        <w:rPr>
          <w:rFonts w:ascii="Arial" w:cs="Arial" w:eastAsia="Arial" w:hAnsi="Arial"/>
          <w:sz w:val="18"/>
          <w:szCs w:val="18"/>
          <w:color w:val="auto"/>
        </w:rPr>
        <w:t>. The Company issued $500 million aggregate principal amount of the Notes. The Notes are general, unsecured,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Company. The Notes will mature on May 1, 2028. Interest on the Notes is payable at a rate of 4.250% per annum, payable semi-annually in arrears on each May 1 and November 1, beginning on May 1, 2020, to holders of record for such Notes on the immediately preceding April 15 and October 15, respectively.</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Company may redeem all or part of the Notes at any time prior to May 1, 2023, at its option, at a redemption price equal to 100%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principal amount of such Notes plus the Applicable Premium (as defined in the Second Supplemental Indenture) plus accrued and unpaid interest, if any, to but excluding the redemption date.</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Company may also redeem up to 40% of the Notes with the proceeds of certain equity offerings completed before May 1, 2023, at a redemption price equal to 104.25% of the principal amount of such Notes plus accrued and unpaid interest, if any, to but excluding the redemption date.</w:t>
      </w:r>
    </w:p>
    <w:p>
      <w:pPr>
        <w:spacing w:after="0" w:line="12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or after May 1, 2023, the Company may on any one or more occasions redeem all or a part of the Notes, at the redemption prices specified in the Second Supplemental Indenture, plus accrued and unpaid interest, if any, on the Notes redeemed, to, but excluding, the applicable date of redemption.</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Upon the occurrence of a Change of Control Triggering Event (as defined in the Second Supplemental Indenture), the Company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offer to repurchase the Notes at a purchase price equal to 101% of the aggregate principal amount of such Notes plus accrued and unpaid interest, if any, to but excluding the date of such purchase.</w:t>
      </w:r>
    </w:p>
    <w:p>
      <w:pPr>
        <w:spacing w:after="0" w:line="18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i w:val="1"/>
          <w:iCs w:val="1"/>
          <w:color w:val="auto"/>
        </w:rPr>
        <w:t>Note Guarantees</w:t>
      </w:r>
      <w:r>
        <w:rPr>
          <w:rFonts w:ascii="Arial" w:cs="Arial" w:eastAsia="Arial" w:hAnsi="Arial"/>
          <w:sz w:val="17"/>
          <w:szCs w:val="17"/>
          <w:color w:val="auto"/>
        </w:rPr>
        <w:t>. As of the issue date, the Notes are guaranteed fully and unconditionally, jointly and severally, on a senior unsecured basis (the “Note</w:t>
      </w:r>
      <w:r>
        <w:rPr>
          <w:rFonts w:ascii="Arial" w:cs="Arial" w:eastAsia="Arial" w:hAnsi="Arial"/>
          <w:sz w:val="17"/>
          <w:szCs w:val="17"/>
          <w:i w:val="1"/>
          <w:iCs w:val="1"/>
          <w:color w:val="auto"/>
        </w:rPr>
        <w:t xml:space="preserve"> </w:t>
      </w:r>
      <w:r>
        <w:rPr>
          <w:rFonts w:ascii="Arial" w:cs="Arial" w:eastAsia="Arial" w:hAnsi="Arial"/>
          <w:sz w:val="17"/>
          <w:szCs w:val="17"/>
          <w:color w:val="auto"/>
        </w:rPr>
        <w:t>Guarantees”), by the Guarantors. In the future, the Note Guarantees may be released or terminated under certain circumstances.</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Covenants and Restrictions. </w:t>
      </w:r>
      <w:r>
        <w:rPr>
          <w:rFonts w:ascii="Arial" w:cs="Arial" w:eastAsia="Arial" w:hAnsi="Arial"/>
          <w:sz w:val="16"/>
          <w:szCs w:val="16"/>
          <w:color w:val="auto"/>
        </w:rPr>
        <w:t>The Second Supplemental Indenture contains certain covenants, including, but not limited to, limitations and restrictions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of the Company and its Subsidiaries (as defined in the Second Supplemental Indenture) to (i) create certain liens, (ii) enter into any Sale and Leaseback Transaction (as defined in the Second Supplemental Indenture) with respect to any property, and (iii) merge, consolidate, sell or otherwise dispose of all or substantially all of their assets. These covenants are subject to a number of important conditions, qualifications, exceptions and limitations.</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Neither the Notes nor the Note Guarantees have been or will be registered under the Securities Act and may not be offered or sold except pursuant to an exemption from, or in a transaction not subject to, the registration requirements of the Securities Act.</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descriptions and provisions of the Second Supplemental Indenture set forth above are summaries only, are not complete and are qualified in their entirety by reference to the full and complete terms contained in the Second Supplemental Indenture and the form of Notes, copies of which are attached as Exhibits 4.1 and 4.2 to this Current Report on Form 8-K and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information required by Item 2.03 relating to the Second Supplemental Indenture and the Notes is contained in Item 1.01 above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Offering</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October 23, 2019, Charles River issued a press release announcing the closing of the offering of $500 million aggregate principal amount of 4.250% senior unsecured notes due 2028. A copy of the press release is attached hereto as Exhibit 99.1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Exhibits.</w:t>
      </w:r>
    </w:p>
    <w:p>
      <w:pPr>
        <w:spacing w:after="0" w:line="175" w:lineRule="exact"/>
        <w:rPr>
          <w:sz w:val="20"/>
          <w:szCs w:val="20"/>
          <w:color w:val="auto"/>
        </w:rPr>
      </w:pPr>
    </w:p>
    <w:p>
      <w:pPr>
        <w:ind w:left="1960" w:right="960" w:hanging="780"/>
        <w:spacing w:after="0" w:line="277" w:lineRule="auto"/>
        <w:tabs>
          <w:tab w:leader="none" w:pos="1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Second Supplemental Indenture, dated as of October 23, 2019, by and among the Company, the Guarantors and MUFG Union Bank, N.A., as trustee.</w:t>
      </w:r>
    </w:p>
    <w:p>
      <w:pPr>
        <w:spacing w:after="0" w:line="8" w:lineRule="exact"/>
        <w:rPr>
          <w:sz w:val="20"/>
          <w:szCs w:val="20"/>
          <w:color w:val="auto"/>
        </w:rPr>
      </w:pPr>
    </w:p>
    <w:p>
      <w:pPr>
        <w:ind w:left="1180"/>
        <w:spacing w:after="0"/>
        <w:tabs>
          <w:tab w:leader="none" w:pos="19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Note for 4.250% Senior Notes due 2028 (included with Exhibit 4.1).</w:t>
      </w:r>
    </w:p>
    <w:p>
      <w:pPr>
        <w:spacing w:after="0" w:line="63" w:lineRule="exact"/>
        <w:rPr>
          <w:sz w:val="20"/>
          <w:szCs w:val="20"/>
          <w:color w:val="auto"/>
        </w:rPr>
      </w:pPr>
    </w:p>
    <w:p>
      <w:pPr>
        <w:ind w:left="1140"/>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October 23, 2019 regarding closing of the notes offering.</w:t>
      </w:r>
    </w:p>
    <w:p>
      <w:pPr>
        <w:spacing w:after="0" w:line="27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240" w:top="796" w:right="6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CHARLES RIVER LABORATORIES INTERNATIONAL, INC.</w:t>
            </w:r>
          </w:p>
        </w:tc>
      </w:tr>
      <w:tr>
        <w:trPr>
          <w:trHeight w:val="540"/>
        </w:trPr>
        <w:tc>
          <w:tcPr>
            <w:tcW w:w="2620" w:type="dxa"/>
            <w:vAlign w:val="bottom"/>
          </w:tcPr>
          <w:p>
            <w:pPr>
              <w:spacing w:after="0"/>
              <w:rPr>
                <w:sz w:val="20"/>
                <w:szCs w:val="20"/>
                <w:color w:val="auto"/>
              </w:rPr>
            </w:pPr>
            <w:r>
              <w:rPr>
                <w:rFonts w:ascii="Arial" w:cs="Arial" w:eastAsia="Arial" w:hAnsi="Arial"/>
                <w:sz w:val="18"/>
                <w:szCs w:val="18"/>
                <w:color w:val="auto"/>
              </w:rPr>
              <w:t>Date:    October 23, 2019</w:t>
            </w:r>
          </w:p>
        </w:tc>
        <w:tc>
          <w:tcPr>
            <w:tcW w:w="8760" w:type="dxa"/>
            <w:vAlign w:val="bottom"/>
            <w:gridSpan w:val="2"/>
          </w:tcPr>
          <w:p>
            <w:pPr>
              <w:ind w:left="700"/>
              <w:spacing w:after="0"/>
              <w:rPr>
                <w:sz w:val="20"/>
                <w:szCs w:val="20"/>
                <w:color w:val="auto"/>
              </w:rPr>
            </w:pPr>
            <w:r>
              <w:rPr>
                <w:rFonts w:ascii="Arial" w:cs="Arial" w:eastAsia="Arial" w:hAnsi="Arial"/>
                <w:sz w:val="18"/>
                <w:szCs w:val="18"/>
                <w:color w:val="auto"/>
              </w:rPr>
              <w:t>By:    /s/ Matthew L. Daniel</w:t>
            </w:r>
          </w:p>
        </w:tc>
      </w:tr>
      <w:tr>
        <w:trPr>
          <w:trHeight w:val="27"/>
        </w:trPr>
        <w:tc>
          <w:tcPr>
            <w:tcW w:w="2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Matthew L. Daniel, Corporate Senior Vice President,</w:t>
            </w:r>
          </w:p>
        </w:tc>
      </w:tr>
      <w:tr>
        <w:trPr>
          <w:trHeight w:val="270"/>
        </w:trPr>
        <w:tc>
          <w:tcPr>
            <w:tcW w:w="26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Legal Compliance, Deputy General Counsel and Assistant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1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40" w:type="dxa"/>
            <w:vAlign w:val="bottom"/>
            <w:gridSpan w:val="3"/>
          </w:tcPr>
          <w:p>
            <w:pPr>
              <w:ind w:left="2440"/>
              <w:spacing w:after="0"/>
              <w:rPr>
                <w:sz w:val="20"/>
                <w:szCs w:val="20"/>
                <w:color w:val="auto"/>
              </w:rPr>
            </w:pPr>
            <w:r>
              <w:rPr>
                <w:rFonts w:ascii="Arial" w:cs="Arial" w:eastAsia="Arial" w:hAnsi="Arial"/>
                <w:sz w:val="18"/>
                <w:szCs w:val="18"/>
                <w:b w:val="1"/>
                <w:bCs w:val="1"/>
                <w:color w:val="auto"/>
              </w:rPr>
              <w:t>EXHIBIT INDEX</w:t>
            </w:r>
          </w:p>
        </w:tc>
      </w:tr>
      <w:tr>
        <w:trPr>
          <w:trHeight w:val="648"/>
        </w:trPr>
        <w:tc>
          <w:tcPr>
            <w:tcW w:w="1380" w:type="dxa"/>
            <w:vAlign w:val="bottom"/>
            <w:gridSpan w:val="2"/>
          </w:tcPr>
          <w:p>
            <w:pPr>
              <w:ind w:left="160"/>
              <w:spacing w:after="0"/>
              <w:rPr>
                <w:sz w:val="20"/>
                <w:szCs w:val="20"/>
                <w:color w:val="auto"/>
              </w:rPr>
            </w:pPr>
            <w:r>
              <w:rPr>
                <w:rFonts w:ascii="Arial" w:cs="Arial" w:eastAsia="Arial" w:hAnsi="Arial"/>
                <w:sz w:val="18"/>
                <w:szCs w:val="18"/>
                <w:color w:val="auto"/>
              </w:rPr>
              <w:t>Exhibit No.</w:t>
            </w:r>
          </w:p>
        </w:tc>
        <w:tc>
          <w:tcPr>
            <w:tcW w:w="40" w:type="dxa"/>
            <w:vAlign w:val="bottom"/>
          </w:tcPr>
          <w:p>
            <w:pPr>
              <w:spacing w:after="0"/>
              <w:rPr>
                <w:sz w:val="24"/>
                <w:szCs w:val="24"/>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6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Second Supplemental Indenture, dated as of October 23, 2019, by and among the Company, the Guarantors and MUFG Union Bank,</w:t>
              </w:r>
            </w:hyperlink>
          </w:p>
        </w:tc>
        <w:tc>
          <w:tcPr>
            <w:tcW w:w="4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6">
              <w:r>
                <w:rPr>
                  <w:rFonts w:ascii="Arial" w:cs="Arial" w:eastAsia="Arial" w:hAnsi="Arial"/>
                  <w:sz w:val="18"/>
                  <w:szCs w:val="18"/>
                  <w:color w:val="0000FF"/>
                  <w:w w:val="88"/>
                </w:rPr>
                <w:t>N.A., as trustee.</w:t>
              </w:r>
            </w:hyperlink>
          </w:p>
        </w:tc>
        <w:tc>
          <w:tcPr>
            <w:tcW w:w="8840" w:type="dxa"/>
            <w:vAlign w:val="bottom"/>
            <w:gridSpan w:val="3"/>
          </w:tcPr>
          <w:p>
            <w:pPr>
              <w:spacing w:after="0"/>
              <w:rPr>
                <w:sz w:val="17"/>
                <w:szCs w:val="17"/>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56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Form of Note for 4.250% Senior Notes due 2028 (included with Exhibit 4.1).</w:t>
              </w:r>
            </w:hyperlink>
          </w:p>
        </w:tc>
        <w:tc>
          <w:tcPr>
            <w:tcW w:w="4440" w:type="dxa"/>
            <w:vAlign w:val="bottom"/>
            <w:gridSpan w:val="2"/>
          </w:tcPr>
          <w:p>
            <w:pPr>
              <w:spacing w:after="0"/>
              <w:rPr>
                <w:sz w:val="21"/>
                <w:szCs w:val="2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4"/>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Press Release dated October 23, 2019 regarding closing of the notes offering.</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1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CHARLES RIVER LABORATORIES INTERNATIONAL,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Issuer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EACH OF THE GUARANTORS PARTY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Guarantors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MUFG UNION BANK, N.A.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207645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Supplemental Indenture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October 23, 2019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 Indenture dated as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April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207645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4.250% Senior Notes due 2028</w:t>
      </w:r>
    </w:p>
    <w:p>
      <w:pPr>
        <w:sectPr>
          <w:pgSz w:w="11900" w:h="16838" w:orient="portrait"/>
          <w:cols w:equalWidth="0" w:num="1">
            <w:col w:w="9019"/>
          </w:cols>
          <w:pgMar w:left="1440" w:top="58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6"/>
        </w:trPr>
        <w:tc>
          <w:tcPr>
            <w:tcW w:w="1080" w:type="dxa"/>
            <w:vAlign w:val="bottom"/>
          </w:tcPr>
          <w:p>
            <w:pPr>
              <w:spacing w:after="0"/>
              <w:rPr>
                <w:sz w:val="22"/>
                <w:szCs w:val="22"/>
                <w:color w:val="auto"/>
              </w:rPr>
            </w:pPr>
          </w:p>
        </w:tc>
        <w:tc>
          <w:tcPr>
            <w:tcW w:w="9660" w:type="dxa"/>
            <w:vAlign w:val="bottom"/>
          </w:tcPr>
          <w:p>
            <w:pPr>
              <w:ind w:left="3540"/>
              <w:spacing w:after="0"/>
              <w:rPr>
                <w:sz w:val="20"/>
                <w:szCs w:val="20"/>
                <w:color w:val="auto"/>
              </w:rPr>
            </w:pPr>
            <w:r>
              <w:rPr>
                <w:rFonts w:ascii="Arial" w:cs="Arial" w:eastAsia="Arial" w:hAnsi="Arial"/>
                <w:sz w:val="20"/>
                <w:szCs w:val="20"/>
                <w:b w:val="1"/>
                <w:bCs w:val="1"/>
                <w:color w:val="auto"/>
              </w:rPr>
              <w:t>TABLE OF CONTENTS</w:t>
            </w:r>
          </w:p>
        </w:tc>
        <w:tc>
          <w:tcPr>
            <w:tcW w:w="540" w:type="dxa"/>
            <w:vAlign w:val="bottom"/>
          </w:tcPr>
          <w:p>
            <w:pPr>
              <w:spacing w:after="0"/>
              <w:rPr>
                <w:sz w:val="22"/>
                <w:szCs w:val="22"/>
                <w:color w:val="auto"/>
              </w:rPr>
            </w:pPr>
          </w:p>
        </w:tc>
      </w:tr>
      <w:tr>
        <w:trPr>
          <w:trHeight w:val="563"/>
        </w:trPr>
        <w:tc>
          <w:tcPr>
            <w:tcW w:w="108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1"/>
              </w:rPr>
              <w:t>PAGE</w:t>
            </w:r>
          </w:p>
        </w:tc>
      </w:tr>
      <w:tr>
        <w:trPr>
          <w:trHeight w:val="308"/>
        </w:trPr>
        <w:tc>
          <w:tcPr>
            <w:tcW w:w="10740" w:type="dxa"/>
            <w:vAlign w:val="bottom"/>
            <w:gridSpan w:val="2"/>
          </w:tcPr>
          <w:p>
            <w:pPr>
              <w:spacing w:after="0"/>
              <w:rPr>
                <w:sz w:val="20"/>
                <w:szCs w:val="20"/>
                <w:color w:val="auto"/>
              </w:rPr>
            </w:pPr>
            <w:r>
              <w:rPr>
                <w:rFonts w:ascii="Arial" w:cs="Arial" w:eastAsia="Arial" w:hAnsi="Arial"/>
                <w:sz w:val="20"/>
                <w:szCs w:val="20"/>
                <w:color w:val="auto"/>
              </w:rPr>
              <w:t>ARTICLE 1. DEFINITIONS AND OTHER PROVISIONS OF GENERAL APPLICATION</w:t>
            </w:r>
          </w:p>
        </w:tc>
        <w:tc>
          <w:tcPr>
            <w:tcW w:w="5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608"/>
        </w:trPr>
        <w:tc>
          <w:tcPr>
            <w:tcW w:w="10740" w:type="dxa"/>
            <w:vAlign w:val="bottom"/>
            <w:gridSpan w:val="2"/>
          </w:tcPr>
          <w:p>
            <w:pPr>
              <w:spacing w:after="0"/>
              <w:rPr>
                <w:sz w:val="20"/>
                <w:szCs w:val="20"/>
                <w:color w:val="auto"/>
              </w:rPr>
            </w:pPr>
            <w:r>
              <w:rPr>
                <w:rFonts w:ascii="Arial" w:cs="Arial" w:eastAsia="Arial" w:hAnsi="Arial"/>
                <w:sz w:val="20"/>
                <w:szCs w:val="20"/>
                <w:color w:val="auto"/>
              </w:rPr>
              <w:t>Section 1.01  Scope of Supplemental Indenture</w:t>
            </w:r>
          </w:p>
        </w:tc>
        <w:tc>
          <w:tcPr>
            <w:tcW w:w="5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080" w:type="dxa"/>
            <w:vAlign w:val="bottom"/>
          </w:tcPr>
          <w:p>
            <w:pPr>
              <w:spacing w:after="0"/>
              <w:rPr>
                <w:sz w:val="20"/>
                <w:szCs w:val="20"/>
                <w:color w:val="auto"/>
              </w:rPr>
            </w:pPr>
            <w:r>
              <w:rPr>
                <w:rFonts w:ascii="Arial" w:cs="Arial" w:eastAsia="Arial" w:hAnsi="Arial"/>
                <w:sz w:val="20"/>
                <w:szCs w:val="20"/>
                <w:color w:val="auto"/>
                <w:w w:val="95"/>
              </w:rPr>
              <w:t>Section 1.02</w:t>
            </w:r>
          </w:p>
        </w:tc>
        <w:tc>
          <w:tcPr>
            <w:tcW w:w="9660" w:type="dxa"/>
            <w:vAlign w:val="bottom"/>
          </w:tcPr>
          <w:p>
            <w:pPr>
              <w:ind w:left="100"/>
              <w:spacing w:after="0"/>
              <w:rPr>
                <w:sz w:val="20"/>
                <w:szCs w:val="20"/>
                <w:color w:val="auto"/>
              </w:rPr>
            </w:pPr>
            <w:r>
              <w:rPr>
                <w:rFonts w:ascii="Arial" w:cs="Arial" w:eastAsia="Arial" w:hAnsi="Arial"/>
                <w:sz w:val="20"/>
                <w:szCs w:val="20"/>
                <w:color w:val="auto"/>
              </w:rPr>
              <w:t>Definitions</w:t>
            </w:r>
          </w:p>
        </w:tc>
        <w:tc>
          <w:tcPr>
            <w:tcW w:w="5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608"/>
        </w:trPr>
        <w:tc>
          <w:tcPr>
            <w:tcW w:w="10740" w:type="dxa"/>
            <w:vAlign w:val="bottom"/>
            <w:gridSpan w:val="2"/>
          </w:tcPr>
          <w:p>
            <w:pPr>
              <w:spacing w:after="0"/>
              <w:rPr>
                <w:sz w:val="20"/>
                <w:szCs w:val="20"/>
                <w:color w:val="auto"/>
              </w:rPr>
            </w:pPr>
            <w:r>
              <w:rPr>
                <w:rFonts w:ascii="Arial" w:cs="Arial" w:eastAsia="Arial" w:hAnsi="Arial"/>
                <w:sz w:val="20"/>
                <w:szCs w:val="20"/>
                <w:color w:val="auto"/>
              </w:rPr>
              <w:t>ARTICLE 2. THE NOTES</w:t>
            </w:r>
          </w:p>
        </w:tc>
        <w:tc>
          <w:tcPr>
            <w:tcW w:w="54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608"/>
        </w:trPr>
        <w:tc>
          <w:tcPr>
            <w:tcW w:w="10740" w:type="dxa"/>
            <w:vAlign w:val="bottom"/>
            <w:gridSpan w:val="2"/>
          </w:tcPr>
          <w:p>
            <w:pPr>
              <w:spacing w:after="0"/>
              <w:rPr>
                <w:sz w:val="20"/>
                <w:szCs w:val="20"/>
                <w:color w:val="auto"/>
              </w:rPr>
            </w:pPr>
            <w:r>
              <w:rPr>
                <w:rFonts w:ascii="Arial" w:cs="Arial" w:eastAsia="Arial" w:hAnsi="Arial"/>
                <w:sz w:val="20"/>
                <w:szCs w:val="20"/>
                <w:color w:val="auto"/>
              </w:rPr>
              <w:t>Section 2.01  Title and Terms; Payments</w:t>
            </w:r>
          </w:p>
        </w:tc>
        <w:tc>
          <w:tcPr>
            <w:tcW w:w="54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10740" w:type="dxa"/>
            <w:vAlign w:val="bottom"/>
            <w:gridSpan w:val="2"/>
          </w:tcPr>
          <w:p>
            <w:pPr>
              <w:spacing w:after="0"/>
              <w:rPr>
                <w:sz w:val="20"/>
                <w:szCs w:val="20"/>
                <w:color w:val="auto"/>
              </w:rPr>
            </w:pPr>
            <w:r>
              <w:rPr>
                <w:rFonts w:ascii="Arial" w:cs="Arial" w:eastAsia="Arial" w:hAnsi="Arial"/>
                <w:sz w:val="20"/>
                <w:szCs w:val="20"/>
                <w:color w:val="auto"/>
              </w:rPr>
              <w:t>Section 2.02  Repurchase and Cancellation</w:t>
            </w:r>
          </w:p>
        </w:tc>
        <w:tc>
          <w:tcPr>
            <w:tcW w:w="54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608"/>
        </w:trPr>
        <w:tc>
          <w:tcPr>
            <w:tcW w:w="10740" w:type="dxa"/>
            <w:vAlign w:val="bottom"/>
            <w:gridSpan w:val="2"/>
          </w:tcPr>
          <w:p>
            <w:pPr>
              <w:spacing w:after="0"/>
              <w:rPr>
                <w:sz w:val="20"/>
                <w:szCs w:val="20"/>
                <w:color w:val="auto"/>
              </w:rPr>
            </w:pPr>
            <w:r>
              <w:rPr>
                <w:rFonts w:ascii="Arial" w:cs="Arial" w:eastAsia="Arial" w:hAnsi="Arial"/>
                <w:sz w:val="20"/>
                <w:szCs w:val="20"/>
                <w:color w:val="auto"/>
              </w:rPr>
              <w:t>ARTICLE 3. REDEMPTION AND PREPAYMENT</w:t>
            </w:r>
          </w:p>
        </w:tc>
        <w:tc>
          <w:tcPr>
            <w:tcW w:w="5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608"/>
        </w:trPr>
        <w:tc>
          <w:tcPr>
            <w:tcW w:w="10740" w:type="dxa"/>
            <w:vAlign w:val="bottom"/>
            <w:gridSpan w:val="2"/>
          </w:tcPr>
          <w:p>
            <w:pPr>
              <w:spacing w:after="0"/>
              <w:rPr>
                <w:sz w:val="20"/>
                <w:szCs w:val="20"/>
                <w:color w:val="auto"/>
              </w:rPr>
            </w:pPr>
            <w:r>
              <w:rPr>
                <w:rFonts w:ascii="Arial" w:cs="Arial" w:eastAsia="Arial" w:hAnsi="Arial"/>
                <w:sz w:val="20"/>
                <w:szCs w:val="20"/>
                <w:color w:val="auto"/>
              </w:rPr>
              <w:t>Section 3.01  Notice of Redemption</w:t>
            </w:r>
          </w:p>
        </w:tc>
        <w:tc>
          <w:tcPr>
            <w:tcW w:w="5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10740" w:type="dxa"/>
            <w:vAlign w:val="bottom"/>
            <w:gridSpan w:val="2"/>
          </w:tcPr>
          <w:p>
            <w:pPr>
              <w:spacing w:after="0"/>
              <w:rPr>
                <w:sz w:val="20"/>
                <w:szCs w:val="20"/>
                <w:color w:val="auto"/>
              </w:rPr>
            </w:pPr>
            <w:r>
              <w:rPr>
                <w:rFonts w:ascii="Arial" w:cs="Arial" w:eastAsia="Arial" w:hAnsi="Arial"/>
                <w:sz w:val="20"/>
                <w:szCs w:val="20"/>
                <w:color w:val="auto"/>
              </w:rPr>
              <w:t>Section 3.02  Effect of Notice of Redemption</w:t>
            </w:r>
          </w:p>
        </w:tc>
        <w:tc>
          <w:tcPr>
            <w:tcW w:w="5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1080" w:type="dxa"/>
            <w:vAlign w:val="bottom"/>
          </w:tcPr>
          <w:p>
            <w:pPr>
              <w:spacing w:after="0"/>
              <w:rPr>
                <w:sz w:val="20"/>
                <w:szCs w:val="20"/>
                <w:color w:val="auto"/>
              </w:rPr>
            </w:pPr>
            <w:r>
              <w:rPr>
                <w:rFonts w:ascii="Arial" w:cs="Arial" w:eastAsia="Arial" w:hAnsi="Arial"/>
                <w:sz w:val="20"/>
                <w:szCs w:val="20"/>
                <w:color w:val="auto"/>
                <w:w w:val="95"/>
              </w:rPr>
              <w:t>Section 3.03</w:t>
            </w:r>
          </w:p>
        </w:tc>
        <w:tc>
          <w:tcPr>
            <w:tcW w:w="9660" w:type="dxa"/>
            <w:vAlign w:val="bottom"/>
          </w:tcPr>
          <w:p>
            <w:pPr>
              <w:ind w:left="100"/>
              <w:spacing w:after="0"/>
              <w:rPr>
                <w:sz w:val="20"/>
                <w:szCs w:val="20"/>
                <w:color w:val="auto"/>
              </w:rPr>
            </w:pPr>
            <w:r>
              <w:rPr>
                <w:rFonts w:ascii="Arial" w:cs="Arial" w:eastAsia="Arial" w:hAnsi="Arial"/>
                <w:sz w:val="20"/>
                <w:szCs w:val="20"/>
                <w:color w:val="auto"/>
              </w:rPr>
              <w:t>Optional Redemption</w:t>
            </w:r>
          </w:p>
        </w:tc>
        <w:tc>
          <w:tcPr>
            <w:tcW w:w="5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1080" w:type="dxa"/>
            <w:vAlign w:val="bottom"/>
          </w:tcPr>
          <w:p>
            <w:pPr>
              <w:spacing w:after="0"/>
              <w:rPr>
                <w:sz w:val="20"/>
                <w:szCs w:val="20"/>
                <w:color w:val="auto"/>
              </w:rPr>
            </w:pPr>
            <w:r>
              <w:rPr>
                <w:rFonts w:ascii="Arial" w:cs="Arial" w:eastAsia="Arial" w:hAnsi="Arial"/>
                <w:sz w:val="20"/>
                <w:szCs w:val="20"/>
                <w:color w:val="auto"/>
                <w:w w:val="95"/>
              </w:rPr>
              <w:t>Section 3.04</w:t>
            </w:r>
          </w:p>
        </w:tc>
        <w:tc>
          <w:tcPr>
            <w:tcW w:w="9660" w:type="dxa"/>
            <w:vAlign w:val="bottom"/>
          </w:tcPr>
          <w:p>
            <w:pPr>
              <w:ind w:left="100"/>
              <w:spacing w:after="0"/>
              <w:rPr>
                <w:sz w:val="20"/>
                <w:szCs w:val="20"/>
                <w:color w:val="auto"/>
              </w:rPr>
            </w:pPr>
            <w:r>
              <w:rPr>
                <w:rFonts w:ascii="Arial" w:cs="Arial" w:eastAsia="Arial" w:hAnsi="Arial"/>
                <w:sz w:val="20"/>
                <w:szCs w:val="20"/>
                <w:color w:val="auto"/>
              </w:rPr>
              <w:t>[RESERVED]</w:t>
            </w:r>
          </w:p>
        </w:tc>
        <w:tc>
          <w:tcPr>
            <w:tcW w:w="5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1080" w:type="dxa"/>
            <w:vAlign w:val="bottom"/>
          </w:tcPr>
          <w:p>
            <w:pPr>
              <w:spacing w:after="0"/>
              <w:rPr>
                <w:sz w:val="20"/>
                <w:szCs w:val="20"/>
                <w:color w:val="auto"/>
              </w:rPr>
            </w:pPr>
            <w:r>
              <w:rPr>
                <w:rFonts w:ascii="Arial" w:cs="Arial" w:eastAsia="Arial" w:hAnsi="Arial"/>
                <w:sz w:val="20"/>
                <w:szCs w:val="20"/>
                <w:color w:val="auto"/>
                <w:w w:val="95"/>
              </w:rPr>
              <w:t>Section 3.05</w:t>
            </w:r>
          </w:p>
        </w:tc>
        <w:tc>
          <w:tcPr>
            <w:tcW w:w="9660" w:type="dxa"/>
            <w:vAlign w:val="bottom"/>
          </w:tcPr>
          <w:p>
            <w:pPr>
              <w:ind w:left="100"/>
              <w:spacing w:after="0"/>
              <w:rPr>
                <w:sz w:val="20"/>
                <w:szCs w:val="20"/>
                <w:color w:val="auto"/>
              </w:rPr>
            </w:pPr>
            <w:r>
              <w:rPr>
                <w:rFonts w:ascii="Arial" w:cs="Arial" w:eastAsia="Arial" w:hAnsi="Arial"/>
                <w:sz w:val="20"/>
                <w:szCs w:val="20"/>
                <w:color w:val="auto"/>
              </w:rPr>
              <w:t>Mandatory Redemption</w:t>
            </w:r>
          </w:p>
        </w:tc>
        <w:tc>
          <w:tcPr>
            <w:tcW w:w="5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608"/>
        </w:trPr>
        <w:tc>
          <w:tcPr>
            <w:tcW w:w="10740" w:type="dxa"/>
            <w:vAlign w:val="bottom"/>
            <w:gridSpan w:val="2"/>
          </w:tcPr>
          <w:p>
            <w:pPr>
              <w:spacing w:after="0"/>
              <w:rPr>
                <w:sz w:val="20"/>
                <w:szCs w:val="20"/>
                <w:color w:val="auto"/>
              </w:rPr>
            </w:pPr>
            <w:r>
              <w:rPr>
                <w:rFonts w:ascii="Arial" w:cs="Arial" w:eastAsia="Arial" w:hAnsi="Arial"/>
                <w:sz w:val="20"/>
                <w:szCs w:val="20"/>
                <w:color w:val="auto"/>
              </w:rPr>
              <w:t>ARTICLE 4. COVENANTS</w:t>
            </w:r>
          </w:p>
        </w:tc>
        <w:tc>
          <w:tcPr>
            <w:tcW w:w="5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608"/>
        </w:trPr>
        <w:tc>
          <w:tcPr>
            <w:tcW w:w="1080" w:type="dxa"/>
            <w:vAlign w:val="bottom"/>
          </w:tcPr>
          <w:p>
            <w:pPr>
              <w:spacing w:after="0"/>
              <w:rPr>
                <w:sz w:val="20"/>
                <w:szCs w:val="20"/>
                <w:color w:val="auto"/>
              </w:rPr>
            </w:pPr>
            <w:r>
              <w:rPr>
                <w:rFonts w:ascii="Arial" w:cs="Arial" w:eastAsia="Arial" w:hAnsi="Arial"/>
                <w:sz w:val="20"/>
                <w:szCs w:val="20"/>
                <w:color w:val="auto"/>
                <w:w w:val="95"/>
              </w:rPr>
              <w:t>Section 4.01</w:t>
            </w:r>
          </w:p>
        </w:tc>
        <w:tc>
          <w:tcPr>
            <w:tcW w:w="9660" w:type="dxa"/>
            <w:vAlign w:val="bottom"/>
          </w:tcPr>
          <w:p>
            <w:pPr>
              <w:ind w:left="100"/>
              <w:spacing w:after="0"/>
              <w:rPr>
                <w:sz w:val="20"/>
                <w:szCs w:val="20"/>
                <w:color w:val="auto"/>
              </w:rPr>
            </w:pPr>
            <w:r>
              <w:rPr>
                <w:rFonts w:ascii="Arial" w:cs="Arial" w:eastAsia="Arial" w:hAnsi="Arial"/>
                <w:sz w:val="20"/>
                <w:szCs w:val="20"/>
                <w:color w:val="auto"/>
              </w:rPr>
              <w:t>Reports</w:t>
            </w:r>
          </w:p>
        </w:tc>
        <w:tc>
          <w:tcPr>
            <w:tcW w:w="5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1080" w:type="dxa"/>
            <w:vAlign w:val="bottom"/>
          </w:tcPr>
          <w:p>
            <w:pPr>
              <w:spacing w:after="0"/>
              <w:rPr>
                <w:sz w:val="20"/>
                <w:szCs w:val="20"/>
                <w:color w:val="auto"/>
              </w:rPr>
            </w:pPr>
            <w:r>
              <w:rPr>
                <w:rFonts w:ascii="Arial" w:cs="Arial" w:eastAsia="Arial" w:hAnsi="Arial"/>
                <w:sz w:val="20"/>
                <w:szCs w:val="20"/>
                <w:color w:val="auto"/>
                <w:w w:val="95"/>
              </w:rPr>
              <w:t>Section 4.02</w:t>
            </w:r>
          </w:p>
        </w:tc>
        <w:tc>
          <w:tcPr>
            <w:tcW w:w="9660" w:type="dxa"/>
            <w:vAlign w:val="bottom"/>
          </w:tcPr>
          <w:p>
            <w:pPr>
              <w:ind w:left="100"/>
              <w:spacing w:after="0"/>
              <w:rPr>
                <w:sz w:val="20"/>
                <w:szCs w:val="20"/>
                <w:color w:val="auto"/>
              </w:rPr>
            </w:pPr>
            <w:r>
              <w:rPr>
                <w:rFonts w:ascii="Arial" w:cs="Arial" w:eastAsia="Arial" w:hAnsi="Arial"/>
                <w:sz w:val="20"/>
                <w:szCs w:val="20"/>
                <w:color w:val="auto"/>
              </w:rPr>
              <w:t>[RESERVED]</w:t>
            </w:r>
          </w:p>
        </w:tc>
        <w:tc>
          <w:tcPr>
            <w:tcW w:w="5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1080" w:type="dxa"/>
            <w:vAlign w:val="bottom"/>
          </w:tcPr>
          <w:p>
            <w:pPr>
              <w:spacing w:after="0"/>
              <w:rPr>
                <w:sz w:val="20"/>
                <w:szCs w:val="20"/>
                <w:color w:val="auto"/>
              </w:rPr>
            </w:pPr>
            <w:r>
              <w:rPr>
                <w:rFonts w:ascii="Arial" w:cs="Arial" w:eastAsia="Arial" w:hAnsi="Arial"/>
                <w:sz w:val="20"/>
                <w:szCs w:val="20"/>
                <w:color w:val="auto"/>
                <w:w w:val="95"/>
              </w:rPr>
              <w:t>Section 4.03</w:t>
            </w:r>
          </w:p>
        </w:tc>
        <w:tc>
          <w:tcPr>
            <w:tcW w:w="9660" w:type="dxa"/>
            <w:vAlign w:val="bottom"/>
          </w:tcPr>
          <w:p>
            <w:pPr>
              <w:ind w:left="100"/>
              <w:spacing w:after="0"/>
              <w:rPr>
                <w:sz w:val="20"/>
                <w:szCs w:val="20"/>
                <w:color w:val="auto"/>
              </w:rPr>
            </w:pPr>
            <w:r>
              <w:rPr>
                <w:rFonts w:ascii="Arial" w:cs="Arial" w:eastAsia="Arial" w:hAnsi="Arial"/>
                <w:sz w:val="20"/>
                <w:szCs w:val="20"/>
                <w:color w:val="auto"/>
              </w:rPr>
              <w:t>Liens</w:t>
            </w:r>
          </w:p>
        </w:tc>
        <w:tc>
          <w:tcPr>
            <w:tcW w:w="5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10740" w:type="dxa"/>
            <w:vAlign w:val="bottom"/>
            <w:gridSpan w:val="2"/>
          </w:tcPr>
          <w:p>
            <w:pPr>
              <w:spacing w:after="0"/>
              <w:rPr>
                <w:sz w:val="20"/>
                <w:szCs w:val="20"/>
                <w:color w:val="auto"/>
              </w:rPr>
            </w:pPr>
            <w:r>
              <w:rPr>
                <w:rFonts w:ascii="Arial" w:cs="Arial" w:eastAsia="Arial" w:hAnsi="Arial"/>
                <w:sz w:val="20"/>
                <w:szCs w:val="20"/>
                <w:color w:val="auto"/>
              </w:rPr>
              <w:t>Section 4.04  Offer to Repurchase Upon Change of Control Triggering Event</w:t>
            </w:r>
          </w:p>
        </w:tc>
        <w:tc>
          <w:tcPr>
            <w:tcW w:w="5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1080" w:type="dxa"/>
            <w:vAlign w:val="bottom"/>
          </w:tcPr>
          <w:p>
            <w:pPr>
              <w:spacing w:after="0"/>
              <w:rPr>
                <w:sz w:val="20"/>
                <w:szCs w:val="20"/>
                <w:color w:val="auto"/>
              </w:rPr>
            </w:pPr>
            <w:r>
              <w:rPr>
                <w:rFonts w:ascii="Arial" w:cs="Arial" w:eastAsia="Arial" w:hAnsi="Arial"/>
                <w:sz w:val="20"/>
                <w:szCs w:val="20"/>
                <w:color w:val="auto"/>
                <w:w w:val="95"/>
              </w:rPr>
              <w:t>Section 4.05</w:t>
            </w:r>
          </w:p>
        </w:tc>
        <w:tc>
          <w:tcPr>
            <w:tcW w:w="9660" w:type="dxa"/>
            <w:vAlign w:val="bottom"/>
          </w:tcPr>
          <w:p>
            <w:pPr>
              <w:ind w:left="100"/>
              <w:spacing w:after="0"/>
              <w:rPr>
                <w:sz w:val="20"/>
                <w:szCs w:val="20"/>
                <w:color w:val="auto"/>
              </w:rPr>
            </w:pPr>
            <w:r>
              <w:rPr>
                <w:rFonts w:ascii="Arial" w:cs="Arial" w:eastAsia="Arial" w:hAnsi="Arial"/>
                <w:sz w:val="20"/>
                <w:szCs w:val="20"/>
                <w:color w:val="auto"/>
              </w:rPr>
              <w:t>Exempted Transactions</w:t>
            </w:r>
          </w:p>
        </w:tc>
        <w:tc>
          <w:tcPr>
            <w:tcW w:w="5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10740" w:type="dxa"/>
            <w:vAlign w:val="bottom"/>
            <w:gridSpan w:val="2"/>
          </w:tcPr>
          <w:p>
            <w:pPr>
              <w:spacing w:after="0"/>
              <w:rPr>
                <w:sz w:val="20"/>
                <w:szCs w:val="20"/>
                <w:color w:val="auto"/>
              </w:rPr>
            </w:pPr>
            <w:r>
              <w:rPr>
                <w:rFonts w:ascii="Arial" w:cs="Arial" w:eastAsia="Arial" w:hAnsi="Arial"/>
                <w:sz w:val="20"/>
                <w:szCs w:val="20"/>
                <w:color w:val="auto"/>
              </w:rPr>
              <w:t>Section 4.06  Additional Note Guarantees</w:t>
            </w:r>
          </w:p>
        </w:tc>
        <w:tc>
          <w:tcPr>
            <w:tcW w:w="5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10740" w:type="dxa"/>
            <w:vAlign w:val="bottom"/>
            <w:gridSpan w:val="2"/>
          </w:tcPr>
          <w:p>
            <w:pPr>
              <w:spacing w:after="0"/>
              <w:rPr>
                <w:sz w:val="20"/>
                <w:szCs w:val="20"/>
                <w:color w:val="auto"/>
              </w:rPr>
            </w:pPr>
            <w:r>
              <w:rPr>
                <w:rFonts w:ascii="Arial" w:cs="Arial" w:eastAsia="Arial" w:hAnsi="Arial"/>
                <w:sz w:val="20"/>
                <w:szCs w:val="20"/>
                <w:color w:val="auto"/>
              </w:rPr>
              <w:t>Section 4.07  Sale and Leaseback Transactions</w:t>
            </w:r>
          </w:p>
        </w:tc>
        <w:tc>
          <w:tcPr>
            <w:tcW w:w="5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608"/>
        </w:trPr>
        <w:tc>
          <w:tcPr>
            <w:tcW w:w="10740" w:type="dxa"/>
            <w:vAlign w:val="bottom"/>
            <w:gridSpan w:val="2"/>
          </w:tcPr>
          <w:p>
            <w:pPr>
              <w:spacing w:after="0"/>
              <w:rPr>
                <w:sz w:val="20"/>
                <w:szCs w:val="20"/>
                <w:color w:val="auto"/>
              </w:rPr>
            </w:pPr>
            <w:r>
              <w:rPr>
                <w:rFonts w:ascii="Arial" w:cs="Arial" w:eastAsia="Arial" w:hAnsi="Arial"/>
                <w:sz w:val="20"/>
                <w:szCs w:val="20"/>
                <w:color w:val="auto"/>
              </w:rPr>
              <w:t>ARTICLE 5. SUCCESSORS</w:t>
            </w:r>
          </w:p>
        </w:tc>
        <w:tc>
          <w:tcPr>
            <w:tcW w:w="5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608"/>
        </w:trPr>
        <w:tc>
          <w:tcPr>
            <w:tcW w:w="10740" w:type="dxa"/>
            <w:vAlign w:val="bottom"/>
            <w:gridSpan w:val="2"/>
          </w:tcPr>
          <w:p>
            <w:pPr>
              <w:spacing w:after="0"/>
              <w:rPr>
                <w:sz w:val="20"/>
                <w:szCs w:val="20"/>
                <w:color w:val="auto"/>
              </w:rPr>
            </w:pPr>
            <w:r>
              <w:rPr>
                <w:rFonts w:ascii="Arial" w:cs="Arial" w:eastAsia="Arial" w:hAnsi="Arial"/>
                <w:sz w:val="20"/>
                <w:szCs w:val="20"/>
                <w:color w:val="auto"/>
              </w:rPr>
              <w:t>Section 5.01  Merger, Consolidation or Sale of Assets</w:t>
            </w:r>
          </w:p>
        </w:tc>
        <w:tc>
          <w:tcPr>
            <w:tcW w:w="5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0740" w:type="dxa"/>
            <w:vAlign w:val="bottom"/>
            <w:gridSpan w:val="2"/>
          </w:tcPr>
          <w:p>
            <w:pPr>
              <w:spacing w:after="0"/>
              <w:rPr>
                <w:sz w:val="20"/>
                <w:szCs w:val="20"/>
                <w:color w:val="auto"/>
              </w:rPr>
            </w:pPr>
            <w:r>
              <w:rPr>
                <w:rFonts w:ascii="Arial" w:cs="Arial" w:eastAsia="Arial" w:hAnsi="Arial"/>
                <w:sz w:val="20"/>
                <w:szCs w:val="20"/>
                <w:color w:val="auto"/>
              </w:rPr>
              <w:t>Section 5.02  Successor Corporation Substituted</w:t>
            </w:r>
          </w:p>
        </w:tc>
        <w:tc>
          <w:tcPr>
            <w:tcW w:w="5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10740" w:type="dxa"/>
            <w:vAlign w:val="bottom"/>
            <w:gridSpan w:val="2"/>
          </w:tcPr>
          <w:p>
            <w:pPr>
              <w:spacing w:after="0"/>
              <w:rPr>
                <w:sz w:val="20"/>
                <w:szCs w:val="20"/>
                <w:color w:val="auto"/>
              </w:rPr>
            </w:pPr>
            <w:r>
              <w:rPr>
                <w:rFonts w:ascii="Arial" w:cs="Arial" w:eastAsia="Arial" w:hAnsi="Arial"/>
                <w:sz w:val="20"/>
                <w:szCs w:val="20"/>
                <w:color w:val="auto"/>
              </w:rPr>
              <w:t>Section 5.03  Opinion of Counsel to Be Given to Trustee</w:t>
            </w:r>
          </w:p>
        </w:tc>
        <w:tc>
          <w:tcPr>
            <w:tcW w:w="5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608"/>
        </w:trPr>
        <w:tc>
          <w:tcPr>
            <w:tcW w:w="10740" w:type="dxa"/>
            <w:vAlign w:val="bottom"/>
            <w:gridSpan w:val="2"/>
          </w:tcPr>
          <w:p>
            <w:pPr>
              <w:spacing w:after="0"/>
              <w:rPr>
                <w:sz w:val="20"/>
                <w:szCs w:val="20"/>
                <w:color w:val="auto"/>
              </w:rPr>
            </w:pPr>
            <w:r>
              <w:rPr>
                <w:rFonts w:ascii="Arial" w:cs="Arial" w:eastAsia="Arial" w:hAnsi="Arial"/>
                <w:sz w:val="20"/>
                <w:szCs w:val="20"/>
                <w:color w:val="auto"/>
              </w:rPr>
              <w:t>ARTICLE 6. DEFAULT AND REMEDIES</w:t>
            </w:r>
          </w:p>
        </w:tc>
        <w:tc>
          <w:tcPr>
            <w:tcW w:w="5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608"/>
        </w:trPr>
        <w:tc>
          <w:tcPr>
            <w:tcW w:w="10740" w:type="dxa"/>
            <w:vAlign w:val="bottom"/>
            <w:gridSpan w:val="2"/>
          </w:tcPr>
          <w:p>
            <w:pPr>
              <w:spacing w:after="0"/>
              <w:rPr>
                <w:sz w:val="20"/>
                <w:szCs w:val="20"/>
                <w:color w:val="auto"/>
              </w:rPr>
            </w:pPr>
            <w:r>
              <w:rPr>
                <w:rFonts w:ascii="Arial" w:cs="Arial" w:eastAsia="Arial" w:hAnsi="Arial"/>
                <w:sz w:val="20"/>
                <w:szCs w:val="20"/>
                <w:color w:val="auto"/>
              </w:rPr>
              <w:t>Section 6.01  Events of Default</w:t>
            </w:r>
          </w:p>
        </w:tc>
        <w:tc>
          <w:tcPr>
            <w:tcW w:w="5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1080" w:type="dxa"/>
            <w:vAlign w:val="bottom"/>
          </w:tcPr>
          <w:p>
            <w:pPr>
              <w:spacing w:after="0"/>
              <w:rPr>
                <w:sz w:val="20"/>
                <w:szCs w:val="20"/>
                <w:color w:val="auto"/>
              </w:rPr>
            </w:pPr>
            <w:r>
              <w:rPr>
                <w:rFonts w:ascii="Arial" w:cs="Arial" w:eastAsia="Arial" w:hAnsi="Arial"/>
                <w:sz w:val="20"/>
                <w:szCs w:val="20"/>
                <w:color w:val="auto"/>
                <w:w w:val="95"/>
              </w:rPr>
              <w:t>Section 6.02</w:t>
            </w:r>
          </w:p>
        </w:tc>
        <w:tc>
          <w:tcPr>
            <w:tcW w:w="9660" w:type="dxa"/>
            <w:vAlign w:val="bottom"/>
          </w:tcPr>
          <w:p>
            <w:pPr>
              <w:ind w:left="100"/>
              <w:spacing w:after="0"/>
              <w:rPr>
                <w:sz w:val="20"/>
                <w:szCs w:val="20"/>
                <w:color w:val="auto"/>
              </w:rPr>
            </w:pPr>
            <w:r>
              <w:rPr>
                <w:rFonts w:ascii="Arial" w:cs="Arial" w:eastAsia="Arial" w:hAnsi="Arial"/>
                <w:sz w:val="20"/>
                <w:szCs w:val="20"/>
                <w:color w:val="auto"/>
              </w:rPr>
              <w:t>Acceleration</w:t>
            </w:r>
          </w:p>
        </w:tc>
        <w:tc>
          <w:tcPr>
            <w:tcW w:w="5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1080" w:type="dxa"/>
            <w:vAlign w:val="bottom"/>
          </w:tcPr>
          <w:p>
            <w:pPr>
              <w:spacing w:after="0"/>
              <w:rPr>
                <w:sz w:val="20"/>
                <w:szCs w:val="20"/>
                <w:color w:val="auto"/>
              </w:rPr>
            </w:pPr>
            <w:r>
              <w:rPr>
                <w:rFonts w:ascii="Arial" w:cs="Arial" w:eastAsia="Arial" w:hAnsi="Arial"/>
                <w:sz w:val="20"/>
                <w:szCs w:val="20"/>
                <w:color w:val="auto"/>
                <w:w w:val="95"/>
              </w:rPr>
              <w:t>Section 6.03</w:t>
            </w:r>
          </w:p>
        </w:tc>
        <w:tc>
          <w:tcPr>
            <w:tcW w:w="9660" w:type="dxa"/>
            <w:vAlign w:val="bottom"/>
          </w:tcPr>
          <w:p>
            <w:pPr>
              <w:ind w:left="100"/>
              <w:spacing w:after="0"/>
              <w:rPr>
                <w:sz w:val="20"/>
                <w:szCs w:val="20"/>
                <w:color w:val="auto"/>
              </w:rPr>
            </w:pPr>
            <w:r>
              <w:rPr>
                <w:rFonts w:ascii="Arial" w:cs="Arial" w:eastAsia="Arial" w:hAnsi="Arial"/>
                <w:sz w:val="20"/>
                <w:szCs w:val="20"/>
                <w:color w:val="auto"/>
              </w:rPr>
              <w:t>Other Remedies</w:t>
            </w:r>
          </w:p>
        </w:tc>
        <w:tc>
          <w:tcPr>
            <w:tcW w:w="5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10740" w:type="dxa"/>
            <w:vAlign w:val="bottom"/>
            <w:gridSpan w:val="2"/>
          </w:tcPr>
          <w:p>
            <w:pPr>
              <w:spacing w:after="0"/>
              <w:rPr>
                <w:sz w:val="20"/>
                <w:szCs w:val="20"/>
                <w:color w:val="auto"/>
              </w:rPr>
            </w:pPr>
            <w:r>
              <w:rPr>
                <w:rFonts w:ascii="Arial" w:cs="Arial" w:eastAsia="Arial" w:hAnsi="Arial"/>
                <w:sz w:val="20"/>
                <w:szCs w:val="20"/>
                <w:color w:val="auto"/>
              </w:rPr>
              <w:t>Section 6.04  Waiver of Past Defaults</w:t>
            </w:r>
          </w:p>
        </w:tc>
        <w:tc>
          <w:tcPr>
            <w:tcW w:w="540" w:type="dxa"/>
            <w:vAlign w:val="bottom"/>
          </w:tcPr>
          <w:p>
            <w:pPr>
              <w:jc w:val="right"/>
              <w:spacing w:after="0"/>
              <w:rPr>
                <w:sz w:val="20"/>
                <w:szCs w:val="20"/>
                <w:color w:val="auto"/>
              </w:rPr>
            </w:pPr>
            <w:r>
              <w:rPr>
                <w:rFonts w:ascii="Arial" w:cs="Arial" w:eastAsia="Arial" w:hAnsi="Arial"/>
                <w:sz w:val="20"/>
                <w:szCs w:val="20"/>
                <w:color w:val="auto"/>
              </w:rPr>
              <w:t>32</w:t>
            </w:r>
          </w:p>
        </w:tc>
      </w:tr>
    </w:tbl>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80"/>
          </w:cols>
          <w:pgMar w:left="280" w:top="58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0"/>
        </w:trPr>
        <w:tc>
          <w:tcPr>
            <w:tcW w:w="9940" w:type="dxa"/>
            <w:vAlign w:val="bottom"/>
          </w:tcPr>
          <w:p>
            <w:pPr>
              <w:spacing w:after="0"/>
              <w:rPr>
                <w:sz w:val="20"/>
                <w:szCs w:val="20"/>
                <w:color w:val="auto"/>
              </w:rPr>
            </w:pPr>
            <w:r>
              <w:rPr>
                <w:rFonts w:ascii="Arial" w:cs="Arial" w:eastAsia="Arial" w:hAnsi="Arial"/>
                <w:sz w:val="20"/>
                <w:szCs w:val="20"/>
                <w:color w:val="auto"/>
              </w:rPr>
              <w:t>Section 6.05  Control by Majority</w:t>
            </w:r>
          </w:p>
        </w:tc>
        <w:tc>
          <w:tcPr>
            <w:tcW w:w="13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6.06  Limitation on Suits</w:t>
            </w:r>
          </w:p>
        </w:tc>
        <w:tc>
          <w:tcPr>
            <w:tcW w:w="13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6.07  Collection Suit by Trustee</w:t>
            </w:r>
          </w:p>
        </w:tc>
        <w:tc>
          <w:tcPr>
            <w:tcW w:w="13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608"/>
        </w:trPr>
        <w:tc>
          <w:tcPr>
            <w:tcW w:w="9940" w:type="dxa"/>
            <w:vAlign w:val="bottom"/>
          </w:tcPr>
          <w:p>
            <w:pPr>
              <w:spacing w:after="0"/>
              <w:rPr>
                <w:sz w:val="20"/>
                <w:szCs w:val="20"/>
                <w:color w:val="auto"/>
              </w:rPr>
            </w:pPr>
            <w:r>
              <w:rPr>
                <w:rFonts w:ascii="Arial" w:cs="Arial" w:eastAsia="Arial" w:hAnsi="Arial"/>
                <w:sz w:val="20"/>
                <w:szCs w:val="20"/>
                <w:color w:val="auto"/>
              </w:rPr>
              <w:t>ARTICLE 7. LEGAL DEFEASANCE AND COVENANT DEFEASANCE</w:t>
            </w:r>
          </w:p>
        </w:tc>
        <w:tc>
          <w:tcPr>
            <w:tcW w:w="13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608"/>
        </w:trPr>
        <w:tc>
          <w:tcPr>
            <w:tcW w:w="9940" w:type="dxa"/>
            <w:vAlign w:val="bottom"/>
          </w:tcPr>
          <w:p>
            <w:pPr>
              <w:spacing w:after="0"/>
              <w:rPr>
                <w:sz w:val="20"/>
                <w:szCs w:val="20"/>
                <w:color w:val="auto"/>
              </w:rPr>
            </w:pPr>
            <w:r>
              <w:rPr>
                <w:rFonts w:ascii="Arial" w:cs="Arial" w:eastAsia="Arial" w:hAnsi="Arial"/>
                <w:sz w:val="20"/>
                <w:szCs w:val="20"/>
                <w:color w:val="auto"/>
              </w:rPr>
              <w:t>Section 7.01 Option to Effect Legal Defeasance or Covenant Defeasance</w:t>
            </w:r>
          </w:p>
        </w:tc>
        <w:tc>
          <w:tcPr>
            <w:tcW w:w="13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7.02 Legal Defeasance and Discharge</w:t>
            </w:r>
          </w:p>
        </w:tc>
        <w:tc>
          <w:tcPr>
            <w:tcW w:w="13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7.03 Covenant Defeasance</w:t>
            </w:r>
          </w:p>
        </w:tc>
        <w:tc>
          <w:tcPr>
            <w:tcW w:w="13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7.04 Conditions to Legal or Covenant Defeasance</w:t>
            </w:r>
          </w:p>
        </w:tc>
        <w:tc>
          <w:tcPr>
            <w:tcW w:w="13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7.05 Deposited Money and Government Securities to be Held in Trust; Other Miscellaneous Provisions</w:t>
            </w:r>
          </w:p>
        </w:tc>
        <w:tc>
          <w:tcPr>
            <w:tcW w:w="13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7.06 Repayment to Company</w:t>
            </w:r>
          </w:p>
        </w:tc>
        <w:tc>
          <w:tcPr>
            <w:tcW w:w="13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7.07 Reinstatement</w:t>
            </w:r>
          </w:p>
        </w:tc>
        <w:tc>
          <w:tcPr>
            <w:tcW w:w="13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608"/>
        </w:trPr>
        <w:tc>
          <w:tcPr>
            <w:tcW w:w="9940" w:type="dxa"/>
            <w:vAlign w:val="bottom"/>
          </w:tcPr>
          <w:p>
            <w:pPr>
              <w:spacing w:after="0"/>
              <w:rPr>
                <w:sz w:val="20"/>
                <w:szCs w:val="20"/>
                <w:color w:val="auto"/>
              </w:rPr>
            </w:pPr>
            <w:r>
              <w:rPr>
                <w:rFonts w:ascii="Arial" w:cs="Arial" w:eastAsia="Arial" w:hAnsi="Arial"/>
                <w:sz w:val="20"/>
                <w:szCs w:val="20"/>
                <w:color w:val="auto"/>
              </w:rPr>
              <w:t>ARTICLE 8. SATISFACTION AND DISCHARGE</w:t>
            </w:r>
          </w:p>
        </w:tc>
        <w:tc>
          <w:tcPr>
            <w:tcW w:w="13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608"/>
        </w:trPr>
        <w:tc>
          <w:tcPr>
            <w:tcW w:w="9940" w:type="dxa"/>
            <w:vAlign w:val="bottom"/>
          </w:tcPr>
          <w:p>
            <w:pPr>
              <w:spacing w:after="0"/>
              <w:rPr>
                <w:sz w:val="20"/>
                <w:szCs w:val="20"/>
                <w:color w:val="auto"/>
              </w:rPr>
            </w:pPr>
            <w:r>
              <w:rPr>
                <w:rFonts w:ascii="Arial" w:cs="Arial" w:eastAsia="Arial" w:hAnsi="Arial"/>
                <w:sz w:val="20"/>
                <w:szCs w:val="20"/>
                <w:color w:val="auto"/>
              </w:rPr>
              <w:t>Section 8.01 Satisfaction and Discharge of the Supplemental Indenture</w:t>
            </w:r>
          </w:p>
        </w:tc>
        <w:tc>
          <w:tcPr>
            <w:tcW w:w="13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8.02 Application of Trust Money</w:t>
            </w:r>
          </w:p>
        </w:tc>
        <w:tc>
          <w:tcPr>
            <w:tcW w:w="13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608"/>
        </w:trPr>
        <w:tc>
          <w:tcPr>
            <w:tcW w:w="9940" w:type="dxa"/>
            <w:vAlign w:val="bottom"/>
          </w:tcPr>
          <w:p>
            <w:pPr>
              <w:spacing w:after="0"/>
              <w:rPr>
                <w:sz w:val="20"/>
                <w:szCs w:val="20"/>
                <w:color w:val="auto"/>
              </w:rPr>
            </w:pPr>
            <w:r>
              <w:rPr>
                <w:rFonts w:ascii="Arial" w:cs="Arial" w:eastAsia="Arial" w:hAnsi="Arial"/>
                <w:sz w:val="20"/>
                <w:szCs w:val="20"/>
                <w:color w:val="auto"/>
              </w:rPr>
              <w:t>ARTICLE 9. NOTE GUARANTEES</w:t>
            </w:r>
          </w:p>
        </w:tc>
        <w:tc>
          <w:tcPr>
            <w:tcW w:w="13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567"/>
        </w:trPr>
        <w:tc>
          <w:tcPr>
            <w:tcW w:w="9940" w:type="dxa"/>
            <w:vAlign w:val="bottom"/>
          </w:tcPr>
          <w:p>
            <w:pPr>
              <w:spacing w:after="0"/>
              <w:rPr>
                <w:sz w:val="20"/>
                <w:szCs w:val="20"/>
                <w:color w:val="auto"/>
              </w:rPr>
            </w:pPr>
            <w:r>
              <w:rPr>
                <w:rFonts w:ascii="Arial" w:cs="Arial" w:eastAsia="Arial" w:hAnsi="Arial"/>
                <w:sz w:val="20"/>
                <w:szCs w:val="20"/>
                <w:color w:val="auto"/>
              </w:rPr>
              <w:t>Section 9.01 Guarantee</w:t>
            </w:r>
          </w:p>
        </w:tc>
        <w:tc>
          <w:tcPr>
            <w:tcW w:w="13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9.02 [RESERVED]</w:t>
            </w:r>
          </w:p>
        </w:tc>
        <w:tc>
          <w:tcPr>
            <w:tcW w:w="13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9.03 Limitation on Guarantor Liability</w:t>
            </w:r>
          </w:p>
        </w:tc>
        <w:tc>
          <w:tcPr>
            <w:tcW w:w="13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9.04 Execution and Delivery</w:t>
            </w:r>
          </w:p>
        </w:tc>
        <w:tc>
          <w:tcPr>
            <w:tcW w:w="13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9.05 Guarantors May Consolidate, etc., on Certain Terms</w:t>
            </w:r>
          </w:p>
        </w:tc>
        <w:tc>
          <w:tcPr>
            <w:tcW w:w="13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9.06 Releases</w:t>
            </w:r>
          </w:p>
        </w:tc>
        <w:tc>
          <w:tcPr>
            <w:tcW w:w="13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608"/>
        </w:trPr>
        <w:tc>
          <w:tcPr>
            <w:tcW w:w="9940" w:type="dxa"/>
            <w:vAlign w:val="bottom"/>
          </w:tcPr>
          <w:p>
            <w:pPr>
              <w:spacing w:after="0"/>
              <w:rPr>
                <w:sz w:val="20"/>
                <w:szCs w:val="20"/>
                <w:color w:val="auto"/>
              </w:rPr>
            </w:pPr>
            <w:r>
              <w:rPr>
                <w:rFonts w:ascii="Arial" w:cs="Arial" w:eastAsia="Arial" w:hAnsi="Arial"/>
                <w:sz w:val="20"/>
                <w:szCs w:val="20"/>
                <w:color w:val="auto"/>
              </w:rPr>
              <w:t>ARTICLE 10. SUPPLEMENTAL INDENTURES</w:t>
            </w:r>
          </w:p>
        </w:tc>
        <w:tc>
          <w:tcPr>
            <w:tcW w:w="13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608"/>
        </w:trPr>
        <w:tc>
          <w:tcPr>
            <w:tcW w:w="9940" w:type="dxa"/>
            <w:vAlign w:val="bottom"/>
          </w:tcPr>
          <w:p>
            <w:pPr>
              <w:spacing w:after="0"/>
              <w:rPr>
                <w:sz w:val="20"/>
                <w:szCs w:val="20"/>
                <w:color w:val="auto"/>
              </w:rPr>
            </w:pPr>
            <w:r>
              <w:rPr>
                <w:rFonts w:ascii="Arial" w:cs="Arial" w:eastAsia="Arial" w:hAnsi="Arial"/>
                <w:sz w:val="20"/>
                <w:szCs w:val="20"/>
                <w:color w:val="auto"/>
              </w:rPr>
              <w:t>Section 10.01 Supplemental Indentures Without Consent of Holders</w:t>
            </w:r>
          </w:p>
        </w:tc>
        <w:tc>
          <w:tcPr>
            <w:tcW w:w="13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10.02 Supplemental Indentures With Consent of Holders</w:t>
            </w:r>
          </w:p>
        </w:tc>
        <w:tc>
          <w:tcPr>
            <w:tcW w:w="134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10.03 Notice of Amendment or Supplement</w:t>
            </w:r>
          </w:p>
        </w:tc>
        <w:tc>
          <w:tcPr>
            <w:tcW w:w="134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608"/>
        </w:trPr>
        <w:tc>
          <w:tcPr>
            <w:tcW w:w="9940" w:type="dxa"/>
            <w:vAlign w:val="bottom"/>
          </w:tcPr>
          <w:p>
            <w:pPr>
              <w:spacing w:after="0"/>
              <w:rPr>
                <w:sz w:val="20"/>
                <w:szCs w:val="20"/>
                <w:color w:val="auto"/>
              </w:rPr>
            </w:pPr>
            <w:r>
              <w:rPr>
                <w:rFonts w:ascii="Arial" w:cs="Arial" w:eastAsia="Arial" w:hAnsi="Arial"/>
                <w:sz w:val="20"/>
                <w:szCs w:val="20"/>
                <w:color w:val="auto"/>
              </w:rPr>
              <w:t>ARTICLE 11. MISCELLANEOUS</w:t>
            </w:r>
          </w:p>
        </w:tc>
        <w:tc>
          <w:tcPr>
            <w:tcW w:w="134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608"/>
        </w:trPr>
        <w:tc>
          <w:tcPr>
            <w:tcW w:w="9940" w:type="dxa"/>
            <w:vAlign w:val="bottom"/>
          </w:tcPr>
          <w:p>
            <w:pPr>
              <w:spacing w:after="0"/>
              <w:rPr>
                <w:sz w:val="20"/>
                <w:szCs w:val="20"/>
                <w:color w:val="auto"/>
              </w:rPr>
            </w:pPr>
            <w:r>
              <w:rPr>
                <w:rFonts w:ascii="Arial" w:cs="Arial" w:eastAsia="Arial" w:hAnsi="Arial"/>
                <w:sz w:val="20"/>
                <w:szCs w:val="20"/>
                <w:color w:val="auto"/>
              </w:rPr>
              <w:t>Section 11.01 Governing Law</w:t>
            </w:r>
          </w:p>
        </w:tc>
        <w:tc>
          <w:tcPr>
            <w:tcW w:w="134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11.02 No Security Interest Created</w:t>
            </w:r>
          </w:p>
        </w:tc>
        <w:tc>
          <w:tcPr>
            <w:tcW w:w="134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11.03 Trust Indenture Act</w:t>
            </w:r>
          </w:p>
        </w:tc>
        <w:tc>
          <w:tcPr>
            <w:tcW w:w="134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11.04 Benefits of Supplemental Indenture</w:t>
            </w:r>
          </w:p>
        </w:tc>
        <w:tc>
          <w:tcPr>
            <w:tcW w:w="134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11.05 Calculations</w:t>
            </w:r>
          </w:p>
        </w:tc>
        <w:tc>
          <w:tcPr>
            <w:tcW w:w="134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11.06 Effect of Headings and Table of Contents</w:t>
            </w:r>
          </w:p>
        </w:tc>
        <w:tc>
          <w:tcPr>
            <w:tcW w:w="1340" w:type="dxa"/>
            <w:vAlign w:val="bottom"/>
          </w:tcPr>
          <w:p>
            <w:pPr>
              <w:jc w:val="right"/>
              <w:spacing w:after="0"/>
              <w:rPr>
                <w:sz w:val="20"/>
                <w:szCs w:val="20"/>
                <w:color w:val="auto"/>
              </w:rPr>
            </w:pPr>
            <w:r>
              <w:rPr>
                <w:rFonts w:ascii="Arial" w:cs="Arial" w:eastAsia="Arial" w:hAnsi="Arial"/>
                <w:sz w:val="20"/>
                <w:szCs w:val="20"/>
                <w:color w:val="auto"/>
              </w:rPr>
              <w:t>44</w:t>
            </w:r>
          </w:p>
        </w:tc>
      </w:tr>
    </w:tbl>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80"/>
          </w:cols>
          <w:pgMar w:left="280" w:top="52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0"/>
        </w:trPr>
        <w:tc>
          <w:tcPr>
            <w:tcW w:w="7440" w:type="dxa"/>
            <w:vAlign w:val="bottom"/>
            <w:gridSpan w:val="2"/>
          </w:tcPr>
          <w:p>
            <w:pPr>
              <w:spacing w:after="0"/>
              <w:rPr>
                <w:sz w:val="20"/>
                <w:szCs w:val="20"/>
                <w:color w:val="auto"/>
              </w:rPr>
            </w:pPr>
            <w:r>
              <w:rPr>
                <w:rFonts w:ascii="Arial" w:cs="Arial" w:eastAsia="Arial" w:hAnsi="Arial"/>
                <w:sz w:val="20"/>
                <w:szCs w:val="20"/>
                <w:color w:val="auto"/>
              </w:rPr>
              <w:t>Section 11.07 Execution in Counterparts</w:t>
            </w:r>
          </w:p>
        </w:tc>
        <w:tc>
          <w:tcPr>
            <w:tcW w:w="384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1100" w:type="dxa"/>
            <w:vAlign w:val="bottom"/>
          </w:tcPr>
          <w:p>
            <w:pPr>
              <w:spacing w:after="0"/>
              <w:rPr>
                <w:sz w:val="20"/>
                <w:szCs w:val="20"/>
                <w:color w:val="auto"/>
              </w:rPr>
            </w:pPr>
            <w:r>
              <w:rPr>
                <w:rFonts w:ascii="Arial" w:cs="Arial" w:eastAsia="Arial" w:hAnsi="Arial"/>
                <w:sz w:val="20"/>
                <w:szCs w:val="20"/>
                <w:color w:val="auto"/>
                <w:w w:val="88"/>
              </w:rPr>
              <w:t>Section 11.08</w:t>
            </w:r>
          </w:p>
        </w:tc>
        <w:tc>
          <w:tcPr>
            <w:tcW w:w="6340" w:type="dxa"/>
            <w:vAlign w:val="bottom"/>
          </w:tcPr>
          <w:p>
            <w:pPr>
              <w:ind w:left="20"/>
              <w:spacing w:after="0"/>
              <w:rPr>
                <w:sz w:val="20"/>
                <w:szCs w:val="20"/>
                <w:color w:val="auto"/>
              </w:rPr>
            </w:pPr>
            <w:r>
              <w:rPr>
                <w:rFonts w:ascii="Arial" w:cs="Arial" w:eastAsia="Arial" w:hAnsi="Arial"/>
                <w:sz w:val="20"/>
                <w:szCs w:val="20"/>
                <w:color w:val="auto"/>
              </w:rPr>
              <w:t>Separability Clause</w:t>
            </w:r>
          </w:p>
        </w:tc>
        <w:tc>
          <w:tcPr>
            <w:tcW w:w="384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1100" w:type="dxa"/>
            <w:vAlign w:val="bottom"/>
          </w:tcPr>
          <w:p>
            <w:pPr>
              <w:spacing w:after="0"/>
              <w:rPr>
                <w:sz w:val="20"/>
                <w:szCs w:val="20"/>
                <w:color w:val="auto"/>
              </w:rPr>
            </w:pPr>
            <w:r>
              <w:rPr>
                <w:rFonts w:ascii="Arial" w:cs="Arial" w:eastAsia="Arial" w:hAnsi="Arial"/>
                <w:sz w:val="20"/>
                <w:szCs w:val="20"/>
                <w:color w:val="auto"/>
                <w:w w:val="88"/>
              </w:rPr>
              <w:t>Section 11.09</w:t>
            </w:r>
          </w:p>
        </w:tc>
        <w:tc>
          <w:tcPr>
            <w:tcW w:w="6340" w:type="dxa"/>
            <w:vAlign w:val="bottom"/>
          </w:tcPr>
          <w:p>
            <w:pPr>
              <w:ind w:left="20"/>
              <w:spacing w:after="0"/>
              <w:rPr>
                <w:sz w:val="20"/>
                <w:szCs w:val="20"/>
                <w:color w:val="auto"/>
              </w:rPr>
            </w:pPr>
            <w:r>
              <w:rPr>
                <w:rFonts w:ascii="Arial" w:cs="Arial" w:eastAsia="Arial" w:hAnsi="Arial"/>
                <w:sz w:val="20"/>
                <w:szCs w:val="20"/>
                <w:color w:val="auto"/>
              </w:rPr>
              <w:t>Ratification of Original Indenture</w:t>
            </w:r>
          </w:p>
        </w:tc>
        <w:tc>
          <w:tcPr>
            <w:tcW w:w="384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1100" w:type="dxa"/>
            <w:vAlign w:val="bottom"/>
          </w:tcPr>
          <w:p>
            <w:pPr>
              <w:spacing w:after="0"/>
              <w:rPr>
                <w:sz w:val="20"/>
                <w:szCs w:val="20"/>
                <w:color w:val="auto"/>
              </w:rPr>
            </w:pPr>
            <w:r>
              <w:rPr>
                <w:rFonts w:ascii="Arial" w:cs="Arial" w:eastAsia="Arial" w:hAnsi="Arial"/>
                <w:sz w:val="20"/>
                <w:szCs w:val="20"/>
                <w:color w:val="auto"/>
                <w:w w:val="88"/>
              </w:rPr>
              <w:t>Section 11.10</w:t>
            </w:r>
          </w:p>
        </w:tc>
        <w:tc>
          <w:tcPr>
            <w:tcW w:w="6340" w:type="dxa"/>
            <w:vAlign w:val="bottom"/>
          </w:tcPr>
          <w:p>
            <w:pPr>
              <w:ind w:left="20"/>
              <w:spacing w:after="0"/>
              <w:rPr>
                <w:sz w:val="20"/>
                <w:szCs w:val="20"/>
                <w:color w:val="auto"/>
              </w:rPr>
            </w:pPr>
            <w:r>
              <w:rPr>
                <w:rFonts w:ascii="Arial" w:cs="Arial" w:eastAsia="Arial" w:hAnsi="Arial"/>
                <w:sz w:val="20"/>
                <w:szCs w:val="20"/>
                <w:color w:val="auto"/>
              </w:rPr>
              <w:t>The Trustee</w:t>
            </w:r>
          </w:p>
        </w:tc>
        <w:tc>
          <w:tcPr>
            <w:tcW w:w="384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7440" w:type="dxa"/>
            <w:vAlign w:val="bottom"/>
            <w:gridSpan w:val="2"/>
          </w:tcPr>
          <w:p>
            <w:pPr>
              <w:spacing w:after="0"/>
              <w:rPr>
                <w:sz w:val="20"/>
                <w:szCs w:val="20"/>
                <w:color w:val="auto"/>
              </w:rPr>
            </w:pPr>
            <w:r>
              <w:rPr>
                <w:rFonts w:ascii="Arial" w:cs="Arial" w:eastAsia="Arial" w:hAnsi="Arial"/>
                <w:sz w:val="20"/>
                <w:szCs w:val="20"/>
                <w:color w:val="auto"/>
              </w:rPr>
              <w:t>Section 11.11 No Recourse Against Others</w:t>
            </w:r>
          </w:p>
        </w:tc>
        <w:tc>
          <w:tcPr>
            <w:tcW w:w="3840" w:type="dxa"/>
            <w:vAlign w:val="bottom"/>
          </w:tcPr>
          <w:p>
            <w:pPr>
              <w:jc w:val="right"/>
              <w:spacing w:after="0"/>
              <w:rPr>
                <w:sz w:val="20"/>
                <w:szCs w:val="20"/>
                <w:color w:val="auto"/>
              </w:rPr>
            </w:pPr>
            <w:r>
              <w:rPr>
                <w:rFonts w:ascii="Arial" w:cs="Arial" w:eastAsia="Arial" w:hAnsi="Arial"/>
                <w:sz w:val="20"/>
                <w:szCs w:val="20"/>
                <w:color w:val="auto"/>
              </w:rPr>
              <w:t>45</w:t>
            </w:r>
          </w:p>
        </w:tc>
      </w:tr>
    </w:tbl>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280"/>
          </w:cols>
          <w:pgMar w:left="280" w:top="52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6"/>
        </w:trPr>
        <w:tc>
          <w:tcPr>
            <w:tcW w:w="4620" w:type="dxa"/>
            <w:vAlign w:val="bottom"/>
          </w:tcPr>
          <w:p>
            <w:pPr>
              <w:spacing w:after="0"/>
              <w:rPr>
                <w:sz w:val="22"/>
                <w:szCs w:val="22"/>
                <w:color w:val="auto"/>
              </w:rPr>
            </w:pPr>
          </w:p>
        </w:tc>
        <w:tc>
          <w:tcPr>
            <w:tcW w:w="6740" w:type="dxa"/>
            <w:vAlign w:val="bottom"/>
          </w:tcPr>
          <w:p>
            <w:pPr>
              <w:jc w:val="right"/>
              <w:ind w:right="5161"/>
              <w:spacing w:after="0"/>
              <w:rPr>
                <w:sz w:val="20"/>
                <w:szCs w:val="20"/>
                <w:color w:val="auto"/>
              </w:rPr>
            </w:pPr>
            <w:r>
              <w:rPr>
                <w:rFonts w:ascii="Arial" w:cs="Arial" w:eastAsia="Arial" w:hAnsi="Arial"/>
                <w:sz w:val="20"/>
                <w:szCs w:val="20"/>
                <w:b w:val="1"/>
                <w:bCs w:val="1"/>
                <w:color w:val="auto"/>
              </w:rPr>
              <w:t>EXHIBIT</w:t>
            </w:r>
          </w:p>
        </w:tc>
      </w:tr>
      <w:tr>
        <w:trPr>
          <w:trHeight w:val="392"/>
        </w:trPr>
        <w:tc>
          <w:tcPr>
            <w:tcW w:w="4620" w:type="dxa"/>
            <w:vAlign w:val="bottom"/>
          </w:tcPr>
          <w:p>
            <w:pPr>
              <w:spacing w:after="0"/>
              <w:rPr>
                <w:sz w:val="20"/>
                <w:szCs w:val="20"/>
                <w:color w:val="auto"/>
              </w:rPr>
            </w:pPr>
            <w:r>
              <w:rPr>
                <w:rFonts w:ascii="Arial" w:cs="Arial" w:eastAsia="Arial" w:hAnsi="Arial"/>
                <w:sz w:val="20"/>
                <w:szCs w:val="20"/>
                <w:color w:val="auto"/>
              </w:rPr>
              <w:t>Appendix A   Provisions Relating to Initial Notes</w:t>
            </w:r>
          </w:p>
        </w:tc>
        <w:tc>
          <w:tcPr>
            <w:tcW w:w="6740" w:type="dxa"/>
            <w:vAlign w:val="bottom"/>
          </w:tcPr>
          <w:p>
            <w:pPr>
              <w:jc w:val="right"/>
              <w:spacing w:after="0"/>
              <w:rPr>
                <w:sz w:val="20"/>
                <w:szCs w:val="20"/>
                <w:color w:val="auto"/>
              </w:rPr>
            </w:pPr>
            <w:r>
              <w:rPr>
                <w:rFonts w:ascii="Arial" w:cs="Arial" w:eastAsia="Arial" w:hAnsi="Arial"/>
                <w:sz w:val="20"/>
                <w:szCs w:val="20"/>
                <w:color w:val="auto"/>
              </w:rPr>
              <w:t>I-1</w:t>
            </w:r>
          </w:p>
        </w:tc>
      </w:tr>
      <w:tr>
        <w:trPr>
          <w:trHeight w:val="500"/>
        </w:trPr>
        <w:tc>
          <w:tcPr>
            <w:tcW w:w="4620" w:type="dxa"/>
            <w:vAlign w:val="bottom"/>
          </w:tcPr>
          <w:p>
            <w:pPr>
              <w:spacing w:after="0"/>
              <w:rPr>
                <w:sz w:val="20"/>
                <w:szCs w:val="20"/>
                <w:color w:val="auto"/>
              </w:rPr>
            </w:pPr>
            <w:r>
              <w:rPr>
                <w:rFonts w:ascii="Arial" w:cs="Arial" w:eastAsia="Arial" w:hAnsi="Arial"/>
                <w:sz w:val="20"/>
                <w:szCs w:val="20"/>
                <w:color w:val="auto"/>
              </w:rPr>
              <w:t>Exhibit A  Form of Note</w:t>
            </w:r>
          </w:p>
        </w:tc>
        <w:tc>
          <w:tcPr>
            <w:tcW w:w="6740" w:type="dxa"/>
            <w:vAlign w:val="bottom"/>
          </w:tcPr>
          <w:p>
            <w:pPr>
              <w:jc w:val="right"/>
              <w:spacing w:after="0"/>
              <w:rPr>
                <w:sz w:val="20"/>
                <w:szCs w:val="20"/>
                <w:color w:val="auto"/>
              </w:rPr>
            </w:pPr>
            <w:r>
              <w:rPr>
                <w:rFonts w:ascii="Arial" w:cs="Arial" w:eastAsia="Arial" w:hAnsi="Arial"/>
                <w:sz w:val="20"/>
                <w:szCs w:val="20"/>
                <w:color w:val="auto"/>
              </w:rPr>
              <w:t>A-1</w:t>
            </w:r>
          </w:p>
        </w:tc>
      </w:tr>
      <w:tr>
        <w:trPr>
          <w:trHeight w:val="500"/>
        </w:trPr>
        <w:tc>
          <w:tcPr>
            <w:tcW w:w="4620" w:type="dxa"/>
            <w:vAlign w:val="bottom"/>
          </w:tcPr>
          <w:p>
            <w:pPr>
              <w:spacing w:after="0"/>
              <w:rPr>
                <w:sz w:val="20"/>
                <w:szCs w:val="20"/>
                <w:color w:val="auto"/>
              </w:rPr>
            </w:pPr>
            <w:r>
              <w:rPr>
                <w:rFonts w:ascii="Arial" w:cs="Arial" w:eastAsia="Arial" w:hAnsi="Arial"/>
                <w:sz w:val="20"/>
                <w:szCs w:val="20"/>
                <w:color w:val="auto"/>
              </w:rPr>
              <w:t>Exhibit B  Form of Supplemental Indenture</w:t>
            </w:r>
          </w:p>
        </w:tc>
        <w:tc>
          <w:tcPr>
            <w:tcW w:w="6740" w:type="dxa"/>
            <w:vAlign w:val="bottom"/>
          </w:tcPr>
          <w:p>
            <w:pPr>
              <w:jc w:val="right"/>
              <w:spacing w:after="0"/>
              <w:rPr>
                <w:sz w:val="20"/>
                <w:szCs w:val="20"/>
                <w:color w:val="auto"/>
              </w:rPr>
            </w:pPr>
            <w:r>
              <w:rPr>
                <w:rFonts w:ascii="Arial" w:cs="Arial" w:eastAsia="Arial" w:hAnsi="Arial"/>
                <w:sz w:val="20"/>
                <w:szCs w:val="20"/>
                <w:color w:val="auto"/>
              </w:rPr>
              <w:t>B-1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1360"/>
          </w:cols>
          <w:pgMar w:left="280" w:top="360" w:right="259" w:bottom="1440" w:gutter="0" w:footer="0" w:header="0"/>
        </w:sectPr>
      </w:pPr>
    </w:p>
    <w:bookmarkStart w:id="10" w:name="page11"/>
    <w:bookmarkEnd w:id="10"/>
    <w:p>
      <w:pPr>
        <w:ind w:right="100" w:firstLine="648"/>
        <w:spacing w:after="0" w:line="282" w:lineRule="auto"/>
        <w:rPr>
          <w:sz w:val="20"/>
          <w:szCs w:val="20"/>
          <w:color w:val="auto"/>
        </w:rPr>
      </w:pPr>
      <w:r>
        <w:rPr>
          <w:rFonts w:ascii="Arial" w:cs="Arial" w:eastAsia="Arial" w:hAnsi="Arial"/>
          <w:sz w:val="18"/>
          <w:szCs w:val="18"/>
          <w:color w:val="auto"/>
        </w:rPr>
        <w:t>SECOND SUPPLEMENTAL INDENTURE (this “</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dated as of October 23, 2019, among Charles River Laboratories International,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the Guarantors listed on Schedule A hereto (the “</w:t>
      </w:r>
      <w:r>
        <w:rPr>
          <w:rFonts w:ascii="Arial" w:cs="Arial" w:eastAsia="Arial" w:hAnsi="Arial"/>
          <w:sz w:val="18"/>
          <w:szCs w:val="18"/>
          <w:b w:val="1"/>
          <w:bCs w:val="1"/>
          <w:i w:val="1"/>
          <w:iCs w:val="1"/>
          <w:color w:val="auto"/>
        </w:rPr>
        <w:t>Guarantors</w:t>
      </w:r>
      <w:r>
        <w:rPr>
          <w:rFonts w:ascii="Arial" w:cs="Arial" w:eastAsia="Arial" w:hAnsi="Arial"/>
          <w:sz w:val="18"/>
          <w:szCs w:val="18"/>
          <w:color w:val="auto"/>
        </w:rPr>
        <w:t>”) and MUFG Union Bank, N.A.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as trustee under the Indenture, dated as of April 3, 2018, between the Company and the Trustee (as amended or supplemented from time to time in accordance with the terms thereof, the “</w:t>
      </w:r>
      <w:r>
        <w:rPr>
          <w:rFonts w:ascii="Arial" w:cs="Arial" w:eastAsia="Arial" w:hAnsi="Arial"/>
          <w:sz w:val="18"/>
          <w:szCs w:val="18"/>
          <w:b w:val="1"/>
          <w:bCs w:val="1"/>
          <w:i w:val="1"/>
          <w:iCs w:val="1"/>
          <w:color w:val="auto"/>
        </w:rPr>
        <w:t>Original Indenture</w:t>
      </w:r>
      <w:r>
        <w:rPr>
          <w:rFonts w:ascii="Arial" w:cs="Arial" w:eastAsia="Arial" w:hAnsi="Arial"/>
          <w:sz w:val="18"/>
          <w:szCs w:val="18"/>
          <w:color w:val="auto"/>
        </w:rPr>
        <w: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RECITALS OF THE COMPANY</w:t>
      </w:r>
    </w:p>
    <w:p>
      <w:pPr>
        <w:spacing w:after="0" w:line="222"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WHEREAS, the Company executed and delivered the Original Indenture to the Trustee to provide, among other things, for the issuance, from time to time, of the Company’s Securities, in an unlimited aggregate principal amount, in one or more series to be established by the Company under, and authenticated and delivered as provided in, the Original Indenture;</w:t>
      </w:r>
    </w:p>
    <w:p>
      <w:pPr>
        <w:spacing w:after="0" w:line="186"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WHEREAS, Section 9.1(j) of the Original Indenture provides for the Company and the Trustee to enter into supplemental indentures to the Original Indenture to establish the form and terms of Securities of any series as contemplated by Sections 2.1 and 2.2 of the Original Indenture;</w:t>
      </w:r>
    </w:p>
    <w:p>
      <w:pPr>
        <w:spacing w:after="0" w:line="186"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WHEREAS, the Board of Directors of the Company has duly adopted resolutions authorizing the Company to execute and deliver this Supplemental Indenture;</w:t>
      </w:r>
    </w:p>
    <w:p>
      <w:pPr>
        <w:spacing w:after="0" w:line="177" w:lineRule="exact"/>
        <w:rPr>
          <w:sz w:val="20"/>
          <w:szCs w:val="20"/>
          <w:color w:val="auto"/>
        </w:rPr>
      </w:pPr>
    </w:p>
    <w:p>
      <w:pPr>
        <w:ind w:right="280" w:firstLine="648"/>
        <w:spacing w:after="0" w:line="250" w:lineRule="auto"/>
        <w:rPr>
          <w:sz w:val="20"/>
          <w:szCs w:val="20"/>
          <w:color w:val="auto"/>
        </w:rPr>
      </w:pPr>
      <w:r>
        <w:rPr>
          <w:rFonts w:ascii="Arial" w:cs="Arial" w:eastAsia="Arial" w:hAnsi="Arial"/>
          <w:sz w:val="20"/>
          <w:szCs w:val="20"/>
          <w:color w:val="auto"/>
        </w:rPr>
        <w:t>WHEREAS, pursuant to the terms of the Original Indenture, the Company desires to establish a new series of its Securities to be known as its “4.250% Senior Notes due 2028” (the “</w:t>
      </w:r>
      <w:r>
        <w:rPr>
          <w:rFonts w:ascii="Arial" w:cs="Arial" w:eastAsia="Arial" w:hAnsi="Arial"/>
          <w:sz w:val="20"/>
          <w:szCs w:val="20"/>
          <w:b w:val="1"/>
          <w:bCs w:val="1"/>
          <w:i w:val="1"/>
          <w:iCs w:val="1"/>
          <w:color w:val="auto"/>
        </w:rPr>
        <w:t>Notes</w:t>
      </w:r>
      <w:r>
        <w:rPr>
          <w:rFonts w:ascii="Arial" w:cs="Arial" w:eastAsia="Arial" w:hAnsi="Arial"/>
          <w:sz w:val="20"/>
          <w:szCs w:val="20"/>
          <w:color w:val="auto"/>
        </w:rPr>
        <w:t>”), the form and substance of such Notes and the terms, provisions and conditions thereof to be set forth as provided in the Original Indenture and this Supplemental Indenture;</w:t>
      </w:r>
    </w:p>
    <w:p>
      <w:pPr>
        <w:spacing w:after="0" w:line="186"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WHEREAS, the Form of Note, the certificate of authentication to be borne by each Note and the Form of Assignment and Transfer contemplated under the terms of the Notes are to be substantially in the forms hereinafter provided; and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WHEREAS, the Company and the Guarantors have requested that the Trustee execute and deliver this Supplemental Indenture.</w:t>
      </w:r>
    </w:p>
    <w:p>
      <w:pPr>
        <w:spacing w:after="0" w:line="216" w:lineRule="exact"/>
        <w:rPr>
          <w:sz w:val="20"/>
          <w:szCs w:val="20"/>
          <w:color w:val="auto"/>
        </w:rPr>
      </w:pPr>
    </w:p>
    <w:p>
      <w:pPr>
        <w:jc w:val="both"/>
        <w:ind w:right="500" w:firstLine="648"/>
        <w:spacing w:after="0" w:line="250" w:lineRule="auto"/>
        <w:rPr>
          <w:sz w:val="20"/>
          <w:szCs w:val="20"/>
          <w:color w:val="auto"/>
        </w:rPr>
      </w:pPr>
      <w:r>
        <w:rPr>
          <w:rFonts w:ascii="Arial" w:cs="Arial" w:eastAsia="Arial" w:hAnsi="Arial"/>
          <w:sz w:val="20"/>
          <w:szCs w:val="20"/>
          <w:color w:val="auto"/>
        </w:rPr>
        <w:t>NOW, THEREFORE, THIS SUPPLEMENTAL INDENTURE WITNESSETH, for and in consideration of the premises and the purchases of the Notes by the Holders thereof, it is mutually agreed, for the benefit of the Company and the Guarantors and the equal and proportionate benefit of all Holders of the Notes, as follows: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00"/>
          </w:cols>
          <w:pgMar w:left="240" w:top="595" w:right="259" w:bottom="1440" w:gutter="0" w:footer="0" w:header="0"/>
        </w:sectPr>
      </w:pPr>
    </w:p>
    <w:bookmarkStart w:id="11" w:name="page12"/>
    <w:bookmarkEnd w:id="11"/>
    <w:p>
      <w:pPr>
        <w:ind w:left="4440"/>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DEFINITIONS AND OTHER PROVISIONS OF GENERAL APPLICATION</w:t>
      </w:r>
    </w:p>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Scope of Supplemental Indenture.</w:t>
      </w:r>
      <w:r>
        <w:rPr>
          <w:rFonts w:ascii="Arial" w:cs="Arial" w:eastAsia="Arial" w:hAnsi="Arial"/>
          <w:sz w:val="16"/>
          <w:szCs w:val="16"/>
          <w:color w:val="auto"/>
        </w:rPr>
        <w:t xml:space="preserve"> Unless otherwise stated, the terms and provisions contained in the Original Indenture shall constitute, and are hereby expressly made, a part of this Supplemental Indenture and the Company, the Guarantors and the Trustee, by their execution and delivery of this Supplemental Indenture, expressly agree to such terms and provisions and to be bound thereby. Notwithstanding any of the foregoing to the contrary, the provisions of this Supplemental Indenture shall supersede any corresponding provisions in the Original Indenture, and to the extent any provision of the Original Indenture conflicts with the express provisions of this Supplemental Indenture, the provisions of this Supplemental Indenture shall govern and be controlling. The changes, modifications and supplements to the Original Indenture effected by this Supplemental Indenture shall be applicable only with respect to, and shall only govern the terms of, the Notes, which may be issued from time to time, and shall not apply to any other Securities that may be issued under the Original Indenture unless a supplemental indenture with respect to such other Securities specifically incorporates such changes, modifications and supplements.</w:t>
      </w:r>
    </w:p>
    <w:p>
      <w:pPr>
        <w:spacing w:after="0" w:line="375"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i w:val="1"/>
          <w:iCs w:val="1"/>
          <w:color w:val="auto"/>
        </w:rPr>
        <w:t>Definitions.</w:t>
      </w:r>
      <w:r>
        <w:rPr>
          <w:rFonts w:ascii="Arial" w:cs="Arial" w:eastAsia="Arial" w:hAnsi="Arial"/>
          <w:sz w:val="20"/>
          <w:szCs w:val="20"/>
          <w:color w:val="auto"/>
        </w:rPr>
        <w:t xml:space="preserve"> For all purposes of this Supplemental Indenture, except as otherwise expressly provided or unless the context otherwise requires:</w:t>
      </w:r>
    </w:p>
    <w:p>
      <w:pPr>
        <w:spacing w:after="0" w:line="177" w:lineRule="exact"/>
        <w:rPr>
          <w:sz w:val="20"/>
          <w:szCs w:val="20"/>
          <w:color w:val="auto"/>
        </w:rPr>
      </w:pPr>
    </w:p>
    <w:p>
      <w:pPr>
        <w:ind w:left="1080"/>
        <w:spacing w:after="0"/>
        <w:tabs>
          <w:tab w:leader="none" w:pos="14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the terms defined in this Article 1 shall have the meanings assigned to them in this Article 1 and include the plural as well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 singular;</w:t>
      </w:r>
    </w:p>
    <w:p>
      <w:pPr>
        <w:spacing w:after="0" w:line="200" w:lineRule="exact"/>
        <w:rPr>
          <w:sz w:val="20"/>
          <w:szCs w:val="20"/>
          <w:color w:val="auto"/>
        </w:rPr>
      </w:pPr>
    </w:p>
    <w:p>
      <w:pPr>
        <w:ind w:right="620" w:firstLine="1088"/>
        <w:spacing w:after="0" w:line="260" w:lineRule="auto"/>
        <w:tabs>
          <w:tab w:leader="none" w:pos="1491" w:val="left"/>
        </w:tabs>
        <w:numPr>
          <w:ilvl w:val="0"/>
          <w:numId w:val="2"/>
        </w:numPr>
        <w:rPr>
          <w:rFonts w:ascii="Arial" w:cs="Arial" w:eastAsia="Arial" w:hAnsi="Arial"/>
          <w:sz w:val="20"/>
          <w:szCs w:val="20"/>
          <w:color w:val="auto"/>
        </w:rPr>
      </w:pPr>
      <w:r>
        <w:rPr>
          <w:rFonts w:ascii="Arial" w:cs="Arial" w:eastAsia="Arial" w:hAnsi="Arial"/>
          <w:sz w:val="20"/>
          <w:szCs w:val="20"/>
          <w:color w:val="auto"/>
        </w:rPr>
        <w:t>all words, terms and phrases defined in the Original Indenture (but not otherwise defined herein) shall have the same meanings as in the Original Indenture;</w:t>
      </w:r>
    </w:p>
    <w:p>
      <w:pPr>
        <w:spacing w:after="0" w:line="176" w:lineRule="exact"/>
        <w:rPr>
          <w:rFonts w:ascii="Arial" w:cs="Arial" w:eastAsia="Arial" w:hAnsi="Arial"/>
          <w:sz w:val="20"/>
          <w:szCs w:val="20"/>
          <w:color w:val="auto"/>
        </w:rPr>
      </w:pPr>
    </w:p>
    <w:p>
      <w:pPr>
        <w:jc w:val="both"/>
        <w:ind w:right="80" w:firstLine="1088"/>
        <w:spacing w:after="0" w:line="250" w:lineRule="auto"/>
        <w:tabs>
          <w:tab w:leader="none" w:pos="1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all accounting terms not otherwise defined herein shall have the meanings assigned to them in accordance with GAAP, and, except as otherwise herein expressly provided, the term “GAAP” with respect to any computation required or permitted hereunder shall mean such accounting principles as are generally accepted at the date of this instrument; and</w:t>
      </w:r>
    </w:p>
    <w:p>
      <w:pPr>
        <w:spacing w:after="0" w:line="186" w:lineRule="exact"/>
        <w:rPr>
          <w:rFonts w:ascii="Arial" w:cs="Arial" w:eastAsia="Arial" w:hAnsi="Arial"/>
          <w:sz w:val="20"/>
          <w:szCs w:val="20"/>
          <w:color w:val="auto"/>
        </w:rPr>
      </w:pPr>
    </w:p>
    <w:p>
      <w:pPr>
        <w:ind w:right="260" w:firstLine="1088"/>
        <w:spacing w:after="0" w:line="260" w:lineRule="auto"/>
        <w:tabs>
          <w:tab w:leader="none" w:pos="1491"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words “herein,” “hereof” and “hereunder” and other words of similar import refer to this Supplemental Indenture as a whole and not to any particular Article, Section or other subdivision.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Additional Notes</w:t>
      </w:r>
      <w:r>
        <w:rPr>
          <w:rFonts w:ascii="Arial" w:cs="Arial" w:eastAsia="Arial" w:hAnsi="Arial"/>
          <w:sz w:val="20"/>
          <w:szCs w:val="20"/>
          <w:color w:val="auto"/>
        </w:rPr>
        <w:t>” has the meaning specified in Section 2.01.</w:t>
      </w:r>
    </w:p>
    <w:p>
      <w:pPr>
        <w:spacing w:after="0" w:line="216"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Appendix</w:t>
      </w:r>
      <w:r>
        <w:rPr>
          <w:rFonts w:ascii="Arial" w:cs="Arial" w:eastAsia="Arial" w:hAnsi="Arial"/>
          <w:sz w:val="20"/>
          <w:szCs w:val="20"/>
          <w:color w:val="auto"/>
        </w:rPr>
        <w:t>” has the meaning set forth in Section 2.01.</w:t>
      </w:r>
    </w:p>
    <w:p>
      <w:pPr>
        <w:spacing w:after="0" w:line="216" w:lineRule="exact"/>
        <w:rPr>
          <w:sz w:val="20"/>
          <w:szCs w:val="20"/>
          <w:color w:val="auto"/>
        </w:rPr>
      </w:pPr>
    </w:p>
    <w:p>
      <w:pPr>
        <w:ind w:right="5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Premium</w:t>
      </w:r>
      <w:r>
        <w:rPr>
          <w:rFonts w:ascii="Arial" w:cs="Arial" w:eastAsia="Arial" w:hAnsi="Arial"/>
          <w:sz w:val="20"/>
          <w:szCs w:val="20"/>
          <w:color w:val="auto"/>
        </w:rPr>
        <w:t>” means, with respect to any Note being redeemed pursuant to Section 3.03(b) on any redemption date, the greater of:</w:t>
      </w:r>
    </w:p>
    <w:p>
      <w:pPr>
        <w:spacing w:after="0" w:line="177"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1.0% of the principal amount of the Note; or</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60"/>
          </w:cols>
          <w:pgMar w:left="240" w:top="369" w:right="299" w:bottom="1440" w:gutter="0" w:footer="0" w:header="0"/>
        </w:sectPr>
      </w:pPr>
    </w:p>
    <w:bookmarkStart w:id="12" w:name="page13"/>
    <w:bookmarkEnd w:id="12"/>
    <w:p>
      <w:pPr>
        <w:ind w:left="1720" w:hanging="415"/>
        <w:spacing w:after="0"/>
        <w:tabs>
          <w:tab w:leader="none" w:pos="1720" w:val="left"/>
        </w:tabs>
        <w:numPr>
          <w:ilvl w:val="1"/>
          <w:numId w:val="3"/>
        </w:numPr>
        <w:rPr>
          <w:rFonts w:ascii="Arial" w:cs="Arial" w:eastAsia="Arial" w:hAnsi="Arial"/>
          <w:sz w:val="20"/>
          <w:szCs w:val="20"/>
          <w:color w:val="auto"/>
        </w:rPr>
      </w:pPr>
      <w:r>
        <w:rPr>
          <w:rFonts w:ascii="Arial" w:cs="Arial" w:eastAsia="Arial" w:hAnsi="Arial"/>
          <w:sz w:val="20"/>
          <w:szCs w:val="20"/>
          <w:color w:val="auto"/>
        </w:rPr>
        <w:t>the excess, if any, of:</w:t>
      </w:r>
    </w:p>
    <w:p>
      <w:pPr>
        <w:spacing w:after="0" w:line="215" w:lineRule="exact"/>
        <w:rPr>
          <w:rFonts w:ascii="Arial" w:cs="Arial" w:eastAsia="Arial" w:hAnsi="Arial"/>
          <w:sz w:val="20"/>
          <w:szCs w:val="20"/>
          <w:color w:val="auto"/>
        </w:rPr>
      </w:pPr>
    </w:p>
    <w:p>
      <w:pPr>
        <w:ind w:firstLine="1088"/>
        <w:spacing w:after="0" w:line="246" w:lineRule="auto"/>
        <w:tabs>
          <w:tab w:leader="none" w:pos="1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present value at such redemption date of (i) the redemption price of the Note at May 1, 2023 (such redemption price being set forth in the table appearing in Section 3.03(d)) plus (ii) all required interest payments due on the Note through May 1, 2023, (excluding accrued but unpaid interest to the redemption date), computed using a discount rate equal to the Treasury Rate as of such redemption date plus 50 basis points; over</w:t>
      </w:r>
    </w:p>
    <w:p>
      <w:pPr>
        <w:spacing w:after="0" w:line="191" w:lineRule="exact"/>
        <w:rPr>
          <w:rFonts w:ascii="Arial" w:cs="Arial" w:eastAsia="Arial" w:hAnsi="Arial"/>
          <w:sz w:val="20"/>
          <w:szCs w:val="20"/>
          <w:color w:val="auto"/>
        </w:rPr>
      </w:pPr>
    </w:p>
    <w:p>
      <w:pPr>
        <w:ind w:left="1500" w:hanging="412"/>
        <w:spacing w:after="0"/>
        <w:tabs>
          <w:tab w:leader="none" w:pos="15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principal amount of the Note.</w:t>
      </w:r>
    </w:p>
    <w:p>
      <w:pPr>
        <w:spacing w:after="0" w:line="216" w:lineRule="exact"/>
        <w:rPr>
          <w:sz w:val="20"/>
          <w:szCs w:val="20"/>
          <w:color w:val="auto"/>
        </w:rPr>
      </w:pPr>
    </w:p>
    <w:p>
      <w:pPr>
        <w:ind w:right="40" w:firstLine="648"/>
        <w:spacing w:after="0" w:line="31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Attributable Indebtedness</w:t>
      </w:r>
      <w:r>
        <w:rPr>
          <w:rFonts w:ascii="Arial" w:cs="Arial" w:eastAsia="Arial" w:hAnsi="Arial"/>
          <w:sz w:val="16"/>
          <w:szCs w:val="16"/>
          <w:color w:val="auto"/>
        </w:rPr>
        <w:t>” means, with respect to any Sale and Lease 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 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w:t>
      </w:r>
    </w:p>
    <w:p>
      <w:pPr>
        <w:spacing w:after="0" w:line="140" w:lineRule="exact"/>
        <w:rPr>
          <w:sz w:val="20"/>
          <w:szCs w:val="20"/>
          <w:color w:val="auto"/>
        </w:rPr>
      </w:pPr>
    </w:p>
    <w:p>
      <w:pPr>
        <w:ind w:right="30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w:t>
      </w:r>
      <w:r>
        <w:rPr>
          <w:rFonts w:ascii="Arial" w:cs="Arial" w:eastAsia="Arial" w:hAnsi="Arial"/>
          <w:sz w:val="20"/>
          <w:szCs w:val="20"/>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 of Directors</w:t>
      </w:r>
      <w:r>
        <w:rPr>
          <w:rFonts w:ascii="Arial" w:cs="Arial" w:eastAsia="Arial" w:hAnsi="Arial"/>
          <w:sz w:val="20"/>
          <w:szCs w:val="20"/>
          <w:color w:val="auto"/>
        </w:rPr>
        <w:t>” means:</w:t>
      </w:r>
    </w:p>
    <w:p>
      <w:pPr>
        <w:spacing w:after="0" w:line="216" w:lineRule="exact"/>
        <w:rPr>
          <w:sz w:val="20"/>
          <w:szCs w:val="20"/>
          <w:color w:val="auto"/>
        </w:rPr>
      </w:pPr>
    </w:p>
    <w:p>
      <w:pPr>
        <w:ind w:left="1720" w:hanging="415"/>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committee thereof duly authorized to act 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behalf of such board;</w:t>
      </w:r>
    </w:p>
    <w:p>
      <w:pPr>
        <w:spacing w:after="0" w:line="199" w:lineRule="exact"/>
        <w:rPr>
          <w:rFonts w:ascii="Arial" w:cs="Arial" w:eastAsia="Arial" w:hAnsi="Arial"/>
          <w:sz w:val="18"/>
          <w:szCs w:val="18"/>
          <w:color w:val="auto"/>
        </w:rPr>
      </w:pPr>
    </w:p>
    <w:p>
      <w:pPr>
        <w:ind w:left="1720" w:hanging="415"/>
        <w:spacing w:after="0"/>
        <w:tabs>
          <w:tab w:leader="none" w:pos="1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with respect to a partnership, the board of directors of the general partner of the partnership;</w:t>
      </w:r>
    </w:p>
    <w:p>
      <w:pPr>
        <w:spacing w:after="0" w:line="215" w:lineRule="exact"/>
        <w:rPr>
          <w:rFonts w:ascii="Arial" w:cs="Arial" w:eastAsia="Arial" w:hAnsi="Arial"/>
          <w:sz w:val="20"/>
          <w:szCs w:val="20"/>
          <w:color w:val="auto"/>
        </w:rPr>
      </w:pPr>
    </w:p>
    <w:p>
      <w:pPr>
        <w:ind w:right="100" w:firstLine="1305"/>
        <w:spacing w:after="0" w:line="260" w:lineRule="auto"/>
        <w:tabs>
          <w:tab w:leader="none" w:pos="1707" w:val="left"/>
        </w:tabs>
        <w:numPr>
          <w:ilvl w:val="0"/>
          <w:numId w:val="5"/>
        </w:numPr>
        <w:rPr>
          <w:rFonts w:ascii="Arial" w:cs="Arial" w:eastAsia="Arial" w:hAnsi="Arial"/>
          <w:sz w:val="20"/>
          <w:szCs w:val="20"/>
          <w:color w:val="auto"/>
        </w:rPr>
      </w:pPr>
      <w:r>
        <w:rPr>
          <w:rFonts w:ascii="Arial" w:cs="Arial" w:eastAsia="Arial" w:hAnsi="Arial"/>
          <w:sz w:val="20"/>
          <w:szCs w:val="20"/>
          <w:color w:val="auto"/>
        </w:rPr>
        <w:t>with respect to a limited liability company, the managing member or members or any controlling committee of managing members thereof; and</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with respect to any other Person, the board or committee of such Person serving a similar function.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Calculation Date</w:t>
      </w:r>
      <w:r>
        <w:rPr>
          <w:rFonts w:ascii="Arial" w:cs="Arial" w:eastAsia="Arial" w:hAnsi="Arial"/>
          <w:sz w:val="20"/>
          <w:szCs w:val="20"/>
          <w:color w:val="auto"/>
        </w:rPr>
        <w:t>” has the meaning specified in the definition of “Consolidated Net Secured Leverage Ratio.”</w:t>
      </w:r>
    </w:p>
    <w:p>
      <w:pPr>
        <w:spacing w:after="0" w:line="216"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Capital Lease Obligation</w:t>
      </w:r>
      <w:r>
        <w:rPr>
          <w:rFonts w:ascii="Arial" w:cs="Arial" w:eastAsia="Arial" w:hAnsi="Arial"/>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6"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Capital Stock</w:t>
      </w:r>
      <w:r>
        <w:rPr>
          <w:rFonts w:ascii="Arial" w:cs="Arial" w:eastAsia="Arial" w:hAnsi="Arial"/>
          <w:sz w:val="20"/>
          <w:szCs w:val="20"/>
          <w:color w:val="auto"/>
        </w:rPr>
        <w:t>” means:</w:t>
      </w:r>
    </w:p>
    <w:p>
      <w:pPr>
        <w:spacing w:after="0" w:line="216" w:lineRule="exact"/>
        <w:rPr>
          <w:sz w:val="20"/>
          <w:szCs w:val="20"/>
          <w:color w:val="auto"/>
        </w:rPr>
      </w:pPr>
    </w:p>
    <w:p>
      <w:pPr>
        <w:ind w:left="1720" w:hanging="415"/>
        <w:spacing w:after="0"/>
        <w:tabs>
          <w:tab w:leader="none" w:pos="1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 the case of a corporation, corporate stock;</w:t>
      </w:r>
    </w:p>
    <w:p>
      <w:pPr>
        <w:spacing w:after="0" w:line="215" w:lineRule="exact"/>
        <w:rPr>
          <w:rFonts w:ascii="Arial" w:cs="Arial" w:eastAsia="Arial" w:hAnsi="Arial"/>
          <w:sz w:val="20"/>
          <w:szCs w:val="20"/>
          <w:color w:val="auto"/>
        </w:rPr>
      </w:pPr>
    </w:p>
    <w:p>
      <w:pPr>
        <w:ind w:right="340" w:firstLine="1305"/>
        <w:spacing w:after="0" w:line="260" w:lineRule="auto"/>
        <w:tabs>
          <w:tab w:leader="none" w:pos="1707" w:val="left"/>
        </w:tabs>
        <w:numPr>
          <w:ilvl w:val="0"/>
          <w:numId w:val="6"/>
        </w:numPr>
        <w:rPr>
          <w:rFonts w:ascii="Arial" w:cs="Arial" w:eastAsia="Arial" w:hAnsi="Arial"/>
          <w:sz w:val="20"/>
          <w:szCs w:val="20"/>
          <w:color w:val="auto"/>
        </w:rPr>
      </w:pPr>
      <w:r>
        <w:rPr>
          <w:rFonts w:ascii="Arial" w:cs="Arial" w:eastAsia="Arial" w:hAnsi="Arial"/>
          <w:sz w:val="20"/>
          <w:szCs w:val="20"/>
          <w:color w:val="auto"/>
        </w:rPr>
        <w:t>in the case of an association or business entity, any and all shares, interests, participations, rights or other equivalents (however designated) of corporate stock;</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interests; and</w:t>
      </w:r>
    </w:p>
    <w:p>
      <w:pPr>
        <w:spacing w:after="0" w:line="199" w:lineRule="exact"/>
        <w:rPr>
          <w:rFonts w:ascii="Arial" w:cs="Arial" w:eastAsia="Arial" w:hAnsi="Arial"/>
          <w:sz w:val="18"/>
          <w:szCs w:val="18"/>
          <w:color w:val="auto"/>
        </w:rPr>
      </w:pPr>
    </w:p>
    <w:p>
      <w:pPr>
        <w:ind w:right="460" w:firstLine="1305"/>
        <w:spacing w:after="0" w:line="260" w:lineRule="auto"/>
        <w:tabs>
          <w:tab w:leader="none" w:pos="1707" w:val="left"/>
        </w:tabs>
        <w:numPr>
          <w:ilvl w:val="0"/>
          <w:numId w:val="6"/>
        </w:numPr>
        <w:rPr>
          <w:rFonts w:ascii="Arial" w:cs="Arial" w:eastAsia="Arial" w:hAnsi="Arial"/>
          <w:sz w:val="20"/>
          <w:szCs w:val="20"/>
          <w:color w:val="auto"/>
        </w:rPr>
      </w:pPr>
      <w:r>
        <w:rPr>
          <w:rFonts w:ascii="Arial" w:cs="Arial" w:eastAsia="Arial" w:hAnsi="Arial"/>
          <w:sz w:val="20"/>
          <w:szCs w:val="20"/>
          <w:color w:val="auto"/>
        </w:rPr>
        <w:t>any other interest or participation that confers on a Person the right to receive a share of the profits and losses of, or distributions of assets of, the issuing Person,</w:t>
      </w:r>
    </w:p>
    <w:p>
      <w:pPr>
        <w:spacing w:after="0" w:line="177"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but excluding from all of the foregoing any debt securities exchangeable or convertible into Capital Stock, whether or not such debt securities include any right of participation with Capital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Equivalents</w:t>
      </w:r>
      <w:r>
        <w:rPr>
          <w:rFonts w:ascii="Arial" w:cs="Arial" w:eastAsia="Arial" w:hAnsi="Arial"/>
          <w:sz w:val="20"/>
          <w:szCs w:val="20"/>
          <w:color w:val="auto"/>
        </w:rPr>
        <w:t>” means:</w:t>
      </w:r>
    </w:p>
    <w:p>
      <w:pPr>
        <w:spacing w:after="0" w:line="216" w:lineRule="exact"/>
        <w:rPr>
          <w:sz w:val="20"/>
          <w:szCs w:val="20"/>
          <w:color w:val="auto"/>
        </w:rPr>
      </w:pPr>
    </w:p>
    <w:p>
      <w:pPr>
        <w:ind w:right="80" w:firstLine="1305"/>
        <w:spacing w:after="0" w:line="260" w:lineRule="auto"/>
        <w:tabs>
          <w:tab w:leader="none" w:pos="1707" w:val="left"/>
        </w:tabs>
        <w:numPr>
          <w:ilvl w:val="1"/>
          <w:numId w:val="7"/>
        </w:numPr>
        <w:rPr>
          <w:rFonts w:ascii="Arial" w:cs="Arial" w:eastAsia="Arial" w:hAnsi="Arial"/>
          <w:sz w:val="20"/>
          <w:szCs w:val="20"/>
          <w:color w:val="auto"/>
        </w:rPr>
      </w:pPr>
      <w:r>
        <w:rPr>
          <w:rFonts w:ascii="Arial" w:cs="Arial" w:eastAsia="Arial" w:hAnsi="Arial"/>
          <w:sz w:val="20"/>
          <w:szCs w:val="20"/>
          <w:color w:val="auto"/>
        </w:rPr>
        <w:t>United States dollars, Canadian dollars, pounds sterling, euros or yen (or any other currency held temporarily to manage the exposure to such other currency);</w:t>
      </w:r>
    </w:p>
    <w:p>
      <w:pPr>
        <w:spacing w:after="0" w:line="176" w:lineRule="exact"/>
        <w:rPr>
          <w:rFonts w:ascii="Arial" w:cs="Arial" w:eastAsia="Arial" w:hAnsi="Arial"/>
          <w:sz w:val="20"/>
          <w:szCs w:val="20"/>
          <w:color w:val="auto"/>
        </w:rPr>
      </w:pPr>
    </w:p>
    <w:p>
      <w:pPr>
        <w:ind w:right="340" w:firstLine="1305"/>
        <w:spacing w:after="0" w:line="250" w:lineRule="auto"/>
        <w:tabs>
          <w:tab w:leader="none" w:pos="1707" w:val="left"/>
        </w:tabs>
        <w:numPr>
          <w:ilvl w:val="1"/>
          <w:numId w:val="7"/>
        </w:numPr>
        <w:rPr>
          <w:rFonts w:ascii="Arial" w:cs="Arial" w:eastAsia="Arial" w:hAnsi="Arial"/>
          <w:sz w:val="20"/>
          <w:szCs w:val="20"/>
          <w:color w:val="auto"/>
        </w:rPr>
      </w:pPr>
      <w:r>
        <w:rPr>
          <w:rFonts w:ascii="Arial" w:cs="Arial" w:eastAsia="Arial" w:hAnsi="Arial"/>
          <w:sz w:val="20"/>
          <w:szCs w:val="20"/>
          <w:color w:val="auto"/>
        </w:rPr>
        <w:t>in the case of any Foreign Subsidiary that is a Subsidiary, (a) such local currencies held by it from time to time in the ordinary course of business and (b) the currency of any country that is a member of the Organization for Economic Cooperation and Development;</w:t>
      </w:r>
    </w:p>
    <w:p>
      <w:pPr>
        <w:spacing w:after="0" w:line="186" w:lineRule="exact"/>
        <w:rPr>
          <w:rFonts w:ascii="Arial" w:cs="Arial" w:eastAsia="Arial" w:hAnsi="Arial"/>
          <w:sz w:val="20"/>
          <w:szCs w:val="20"/>
          <w:color w:val="auto"/>
        </w:rPr>
      </w:pPr>
    </w:p>
    <w:p>
      <w:pPr>
        <w:ind w:right="480" w:firstLine="1305"/>
        <w:spacing w:after="0" w:line="250" w:lineRule="auto"/>
        <w:tabs>
          <w:tab w:leader="none" w:pos="1707" w:val="left"/>
        </w:tabs>
        <w:numPr>
          <w:ilvl w:val="1"/>
          <w:numId w:val="7"/>
        </w:numPr>
        <w:rPr>
          <w:rFonts w:ascii="Arial" w:cs="Arial" w:eastAsia="Arial" w:hAnsi="Arial"/>
          <w:sz w:val="20"/>
          <w:szCs w:val="20"/>
          <w:color w:val="auto"/>
        </w:rPr>
      </w:pPr>
      <w:r>
        <w:rPr>
          <w:rFonts w:ascii="Arial" w:cs="Arial" w:eastAsia="Arial" w:hAnsi="Arial"/>
          <w:sz w:val="20"/>
          <w:szCs w:val="20"/>
          <w:color w:val="auto"/>
        </w:rPr>
        <w:t>securities issued or directly and fully guaranteed or insured by the United States government or any agency or instrumentality of the United States government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full faith and credit of the United States is pledged in support of those securities) having maturities of not more than 24 months from the date of acquisition;</w:t>
      </w:r>
    </w:p>
    <w:p>
      <w:pPr>
        <w:spacing w:after="0" w:line="186" w:lineRule="exact"/>
        <w:rPr>
          <w:rFonts w:ascii="Arial" w:cs="Arial" w:eastAsia="Arial" w:hAnsi="Arial"/>
          <w:sz w:val="20"/>
          <w:szCs w:val="20"/>
          <w:color w:val="auto"/>
        </w:rPr>
      </w:pPr>
    </w:p>
    <w:p>
      <w:pPr>
        <w:jc w:val="both"/>
        <w:ind w:right="520" w:firstLine="1305"/>
        <w:spacing w:after="0" w:line="250" w:lineRule="auto"/>
        <w:tabs>
          <w:tab w:leader="none" w:pos="1707" w:val="left"/>
        </w:tabs>
        <w:numPr>
          <w:ilvl w:val="1"/>
          <w:numId w:val="7"/>
        </w:numPr>
        <w:rPr>
          <w:rFonts w:ascii="Arial" w:cs="Arial" w:eastAsia="Arial" w:hAnsi="Arial"/>
          <w:sz w:val="20"/>
          <w:szCs w:val="20"/>
          <w:color w:val="auto"/>
        </w:rPr>
      </w:pPr>
      <w:r>
        <w:rPr>
          <w:rFonts w:ascii="Arial" w:cs="Arial" w:eastAsia="Arial" w:hAnsi="Arial"/>
          <w:sz w:val="20"/>
          <w:szCs w:val="20"/>
          <w:color w:val="auto"/>
        </w:rPr>
        <w:t>certificates of deposit and eurodollar time deposits with maturities of one year or less from the date of acquisition, bankers’ acceptances with maturities not exceeding one year and overnight bank deposits, in each case, with any lender party to a Credit Facility or with any commercial bank having capital and surplus in excess of $500.0 million;</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1"/>
          <w:numId w:val="7"/>
        </w:numPr>
        <w:rPr>
          <w:rFonts w:ascii="Arial" w:cs="Arial" w:eastAsia="Arial" w:hAnsi="Arial"/>
          <w:sz w:val="16"/>
          <w:szCs w:val="16"/>
          <w:color w:val="auto"/>
        </w:rPr>
      </w:pPr>
      <w:r>
        <w:rPr>
          <w:rFonts w:ascii="Arial" w:cs="Arial" w:eastAsia="Arial" w:hAnsi="Arial"/>
          <w:sz w:val="16"/>
          <w:szCs w:val="16"/>
          <w:color w:val="auto"/>
        </w:rPr>
        <w:t>repurchase obligations with a term of not more than seven days for underlying securities of the types described in clauses</w:t>
      </w:r>
    </w:p>
    <w:p>
      <w:pPr>
        <w:spacing w:after="0" w:line="61" w:lineRule="exact"/>
        <w:rPr>
          <w:rFonts w:ascii="Arial" w:cs="Arial" w:eastAsia="Arial" w:hAnsi="Arial"/>
          <w:sz w:val="16"/>
          <w:szCs w:val="16"/>
          <w:color w:val="auto"/>
        </w:rPr>
      </w:pPr>
    </w:p>
    <w:p>
      <w:pPr>
        <w:ind w:left="280" w:hanging="272"/>
        <w:spacing w:after="0"/>
        <w:tabs>
          <w:tab w:leader="none" w:pos="2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and (4) above entered into with any financial institution meeting the qualifications specified in clause (4) above;</w:t>
      </w:r>
    </w:p>
    <w:p>
      <w:pPr>
        <w:spacing w:after="0" w:line="199" w:lineRule="exact"/>
        <w:rPr>
          <w:rFonts w:ascii="Arial" w:cs="Arial" w:eastAsia="Arial" w:hAnsi="Arial"/>
          <w:sz w:val="20"/>
          <w:szCs w:val="20"/>
          <w:color w:val="auto"/>
        </w:rPr>
      </w:pPr>
    </w:p>
    <w:p>
      <w:pPr>
        <w:ind w:right="300" w:firstLine="1305"/>
        <w:spacing w:after="0" w:line="260" w:lineRule="auto"/>
        <w:tabs>
          <w:tab w:leader="none" w:pos="1707" w:val="left"/>
        </w:tabs>
        <w:numPr>
          <w:ilvl w:val="1"/>
          <w:numId w:val="8"/>
        </w:numPr>
        <w:rPr>
          <w:rFonts w:ascii="Arial" w:cs="Arial" w:eastAsia="Arial" w:hAnsi="Arial"/>
          <w:sz w:val="20"/>
          <w:szCs w:val="20"/>
          <w:color w:val="auto"/>
        </w:rPr>
      </w:pPr>
      <w:r>
        <w:rPr>
          <w:rFonts w:ascii="Arial" w:cs="Arial" w:eastAsia="Arial" w:hAnsi="Arial"/>
          <w:sz w:val="20"/>
          <w:szCs w:val="20"/>
          <w:color w:val="auto"/>
        </w:rPr>
        <w:t>commercial paper having one of the two highest ratings obtainable from Moody’s or S&amp;P and, in each case, maturing within 12 months after the date of acquisition;</w:t>
      </w:r>
    </w:p>
    <w:p>
      <w:pPr>
        <w:spacing w:after="0" w:line="176" w:lineRule="exact"/>
        <w:rPr>
          <w:rFonts w:ascii="Arial" w:cs="Arial" w:eastAsia="Arial" w:hAnsi="Arial"/>
          <w:sz w:val="20"/>
          <w:szCs w:val="20"/>
          <w:color w:val="auto"/>
        </w:rPr>
      </w:pPr>
    </w:p>
    <w:p>
      <w:pPr>
        <w:ind w:right="80" w:firstLine="1305"/>
        <w:spacing w:after="0" w:line="263" w:lineRule="auto"/>
        <w:tabs>
          <w:tab w:leader="none" w:pos="1707" w:val="left"/>
        </w:tabs>
        <w:numPr>
          <w:ilvl w:val="1"/>
          <w:numId w:val="8"/>
        </w:numPr>
        <w:rPr>
          <w:rFonts w:ascii="Arial" w:cs="Arial" w:eastAsia="Arial" w:hAnsi="Arial"/>
          <w:sz w:val="19"/>
          <w:szCs w:val="19"/>
          <w:color w:val="auto"/>
        </w:rPr>
      </w:pPr>
      <w:r>
        <w:rPr>
          <w:rFonts w:ascii="Arial" w:cs="Arial" w:eastAsia="Arial" w:hAnsi="Arial"/>
          <w:sz w:val="19"/>
          <w:szCs w:val="19"/>
          <w:color w:val="auto"/>
        </w:rPr>
        <w:t>marketable short-term money market and similar securities having a rating of at least P-2 or A-2 from either Moody’s or S&amp;P, respectively (or, if at any time neither Moody’s nor S&amp;P shall be rating such obligations, an equivalent rating from another “nationally recognized statistical rating organization” within the meaning of Rule 3(a)(62) under the Exchange Act selected by the Company as a replacement agency) and in each case maturing within 24 months after the date of creation or acquisition thereof;</w:t>
      </w: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320"/>
          </w:cols>
          <w:pgMar w:left="240" w:top="366" w:right="339" w:bottom="1440" w:gutter="0" w:footer="0" w:header="0"/>
        </w:sectPr>
      </w:pPr>
    </w:p>
    <w:bookmarkStart w:id="14" w:name="page15"/>
    <w:bookmarkEnd w:id="14"/>
    <w:p>
      <w:pPr>
        <w:ind w:right="140" w:firstLine="1305"/>
        <w:spacing w:after="0" w:line="250" w:lineRule="auto"/>
        <w:tabs>
          <w:tab w:leader="none" w:pos="1707" w:val="left"/>
        </w:tabs>
        <w:numPr>
          <w:ilvl w:val="0"/>
          <w:numId w:val="9"/>
        </w:numPr>
        <w:rPr>
          <w:rFonts w:ascii="Arial" w:cs="Arial" w:eastAsia="Arial" w:hAnsi="Arial"/>
          <w:sz w:val="20"/>
          <w:szCs w:val="20"/>
          <w:color w:val="auto"/>
        </w:rPr>
      </w:pPr>
      <w:r>
        <w:rPr>
          <w:rFonts w:ascii="Arial" w:cs="Arial" w:eastAsia="Arial" w:hAnsi="Arial"/>
          <w:sz w:val="20"/>
          <w:szCs w:val="20"/>
          <w:color w:val="auto"/>
        </w:rPr>
        <w:t>readily marketable direct obligations issued by any state, commonwealth or territory of the United States or any political subdivision or taxing authority thereof having an Investment Grade rating from either Moody’s or S&amp;P with maturities of 12 months or less from the date of acquisition; and</w:t>
      </w:r>
    </w:p>
    <w:p>
      <w:pPr>
        <w:spacing w:after="0" w:line="186" w:lineRule="exact"/>
        <w:rPr>
          <w:rFonts w:ascii="Arial" w:cs="Arial" w:eastAsia="Arial" w:hAnsi="Arial"/>
          <w:sz w:val="20"/>
          <w:szCs w:val="20"/>
          <w:color w:val="auto"/>
        </w:rPr>
      </w:pPr>
    </w:p>
    <w:p>
      <w:pPr>
        <w:ind w:right="140" w:firstLine="1305"/>
        <w:spacing w:after="0" w:line="260" w:lineRule="auto"/>
        <w:tabs>
          <w:tab w:leader="none" w:pos="1707" w:val="left"/>
        </w:tabs>
        <w:numPr>
          <w:ilvl w:val="0"/>
          <w:numId w:val="9"/>
        </w:numPr>
        <w:rPr>
          <w:rFonts w:ascii="Arial" w:cs="Arial" w:eastAsia="Arial" w:hAnsi="Arial"/>
          <w:sz w:val="20"/>
          <w:szCs w:val="20"/>
          <w:color w:val="auto"/>
        </w:rPr>
      </w:pPr>
      <w:r>
        <w:rPr>
          <w:rFonts w:ascii="Arial" w:cs="Arial" w:eastAsia="Arial" w:hAnsi="Arial"/>
          <w:sz w:val="20"/>
          <w:szCs w:val="20"/>
          <w:color w:val="auto"/>
        </w:rPr>
        <w:t>money market funds at least 95% of the assets of which constitute Cash Equivalents of the kinds described in clauses (1) through (8) of this definition.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of Control</w:t>
      </w:r>
      <w:r>
        <w:rPr>
          <w:rFonts w:ascii="Arial" w:cs="Arial" w:eastAsia="Arial" w:hAnsi="Arial"/>
          <w:sz w:val="20"/>
          <w:szCs w:val="20"/>
          <w:color w:val="auto"/>
        </w:rPr>
        <w:t>” means the occurrence of any of the following:</w:t>
      </w:r>
    </w:p>
    <w:p>
      <w:pPr>
        <w:spacing w:after="0" w:line="216" w:lineRule="exact"/>
        <w:rPr>
          <w:sz w:val="20"/>
          <w:szCs w:val="20"/>
          <w:color w:val="auto"/>
        </w:rPr>
      </w:pPr>
    </w:p>
    <w:p>
      <w:pPr>
        <w:ind w:right="100" w:firstLine="1305"/>
        <w:spacing w:after="0" w:line="246" w:lineRule="auto"/>
        <w:tabs>
          <w:tab w:leader="none" w:pos="1707"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direct or indirect sale, lease, transfer, conveyance or other disposition (other than by way of merger or consolidation), in one or a series of related transactions, of all or substantially all of the properties or assets of the Company and its Subsidiaries taken as a whole to any Person (including any “person” (as that term is used in Section 13(d)(3) of the Exchange Act)) other than to the Company or one of its Subsidiaries;</w:t>
      </w:r>
    </w:p>
    <w:p>
      <w:pPr>
        <w:spacing w:after="0" w:line="191" w:lineRule="exact"/>
        <w:rPr>
          <w:rFonts w:ascii="Arial" w:cs="Arial" w:eastAsia="Arial" w:hAnsi="Arial"/>
          <w:sz w:val="20"/>
          <w:szCs w:val="20"/>
          <w:color w:val="auto"/>
        </w:rPr>
      </w:pPr>
    </w:p>
    <w:p>
      <w:pPr>
        <w:ind w:right="40" w:firstLine="1305"/>
        <w:spacing w:after="0" w:line="269" w:lineRule="auto"/>
        <w:tabs>
          <w:tab w:leader="none" w:pos="1707"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consummation of any transaction (including, without limitation, any merger or consolidation), the result of which is that any Person or “group” (as such term is used in Section 13(d)(3) of the Exchange Act) becomes the Beneficial Owner, directly or indirectly, of more than 50% of the Voting Stock of the Company, measured by voting power rather than number of shares;</w:t>
      </w:r>
    </w:p>
    <w:p>
      <w:pPr>
        <w:spacing w:after="0" w:line="170" w:lineRule="exact"/>
        <w:rPr>
          <w:rFonts w:ascii="Arial" w:cs="Arial" w:eastAsia="Arial" w:hAnsi="Arial"/>
          <w:sz w:val="19"/>
          <w:szCs w:val="19"/>
          <w:color w:val="auto"/>
        </w:rPr>
      </w:pPr>
    </w:p>
    <w:p>
      <w:pPr>
        <w:ind w:right="140" w:firstLine="1305"/>
        <w:spacing w:after="0" w:line="250" w:lineRule="auto"/>
        <w:tabs>
          <w:tab w:leader="none" w:pos="1707"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 consolidates with, or merges with or into, any Person, or any Person consolidates with, or merges with or into, the Company, in any such event pursuant to a transaction in which any of the outstanding Voting Stock of the Company is converted into or exchanged for cash, securities or other property, other than any such transaction where:</w:t>
      </w:r>
    </w:p>
    <w:p>
      <w:pPr>
        <w:spacing w:after="0" w:line="186" w:lineRule="exact"/>
        <w:rPr>
          <w:rFonts w:ascii="Arial" w:cs="Arial" w:eastAsia="Arial" w:hAnsi="Arial"/>
          <w:sz w:val="20"/>
          <w:szCs w:val="20"/>
          <w:color w:val="auto"/>
        </w:rPr>
      </w:pPr>
    </w:p>
    <w:p>
      <w:pPr>
        <w:ind w:firstLine="1629"/>
        <w:spacing w:after="0" w:line="250" w:lineRule="auto"/>
        <w:tabs>
          <w:tab w:leader="none" w:pos="20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the Voting Stock of the Company outstanding immediately prior to such transaction is converted into or exchanged for the Voting Stock of such surviving or transferee Person (or any direct or indirect parent thereof) immediately after giving effect to such transaction; and</w:t>
      </w:r>
    </w:p>
    <w:p>
      <w:pPr>
        <w:spacing w:after="0" w:line="186" w:lineRule="exact"/>
        <w:rPr>
          <w:rFonts w:ascii="Arial" w:cs="Arial" w:eastAsia="Arial" w:hAnsi="Arial"/>
          <w:sz w:val="20"/>
          <w:szCs w:val="20"/>
          <w:color w:val="auto"/>
        </w:rPr>
      </w:pPr>
    </w:p>
    <w:p>
      <w:pPr>
        <w:ind w:right="120" w:firstLine="1629"/>
        <w:spacing w:after="0" w:line="250" w:lineRule="auto"/>
        <w:tabs>
          <w:tab w:leader="none" w:pos="2031" w:val="left"/>
        </w:tabs>
        <w:numPr>
          <w:ilvl w:val="1"/>
          <w:numId w:val="10"/>
        </w:numPr>
        <w:rPr>
          <w:rFonts w:ascii="Arial" w:cs="Arial" w:eastAsia="Arial" w:hAnsi="Arial"/>
          <w:sz w:val="20"/>
          <w:szCs w:val="20"/>
          <w:color w:val="auto"/>
        </w:rPr>
      </w:pPr>
      <w:r>
        <w:rPr>
          <w:rFonts w:ascii="Arial" w:cs="Arial" w:eastAsia="Arial" w:hAnsi="Arial"/>
          <w:sz w:val="20"/>
          <w:szCs w:val="20"/>
          <w:color w:val="auto"/>
        </w:rPr>
        <w:t>the holders of the Voting Stock of the Company immediately prior to such transaction own, directly or indirectly, not less than a majority of the Voting Stock of the Company or such surviving or transferee Person (or any direct or indirect parent thereof) immediately after giving effect to such transaction.</w:t>
      </w:r>
    </w:p>
    <w:p>
      <w:pPr>
        <w:spacing w:after="0" w:line="18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Notwithstanding the foregoing, a transaction will not be deemed to involve a Change of Control solely as a result of the Company becoming a direct or indirect Wholly-Owned Subsidiary of another company (whether the Company is directly owned by such company or indirectly through other subsidiaries of such company); provided that no “Person” or “group” (as such terms are defined above) is the Beneficial Owner, directly or indirectly, of more than a majority of the total voting power of the Voting Stock of such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the meaning specified in the first paragraph of this Supplemental Indenture.</w:t>
      </w:r>
    </w:p>
    <w:p>
      <w:pPr>
        <w:spacing w:after="0" w:line="216" w:lineRule="exact"/>
        <w:rPr>
          <w:sz w:val="20"/>
          <w:szCs w:val="20"/>
          <w:color w:val="auto"/>
        </w:rPr>
      </w:pPr>
    </w:p>
    <w:p>
      <w:pPr>
        <w:ind w:right="1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EBITDA</w:t>
      </w:r>
      <w:r>
        <w:rPr>
          <w:rFonts w:ascii="Arial" w:cs="Arial" w:eastAsia="Arial" w:hAnsi="Arial"/>
          <w:sz w:val="18"/>
          <w:szCs w:val="18"/>
          <w:color w:val="auto"/>
        </w:rPr>
        <w:t xml:space="preserve">” means, with respect to any specified Person for any period, the Consolidated Net Income of such Person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in each case to the extent taken into account in computing such Consolidated Net Income: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00"/>
          </w:cols>
          <w:pgMar w:left="240" w:top="366" w:right="259" w:bottom="1440" w:gutter="0" w:footer="0" w:header="0"/>
        </w:sectPr>
      </w:pPr>
    </w:p>
    <w:bookmarkStart w:id="15" w:name="page16"/>
    <w:bookmarkEnd w:id="15"/>
    <w:p>
      <w:pPr>
        <w:ind w:left="-60" w:right="20" w:firstLine="1305"/>
        <w:spacing w:after="0" w:line="260" w:lineRule="auto"/>
        <w:tabs>
          <w:tab w:leader="none" w:pos="1647"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provision for taxes based on income, profits or capital, including, without limitation, state, franchise and similar taxes and foreign withholding taxes of such Person and its Subsidiaries for such period; </w:t>
      </w:r>
      <w:r>
        <w:rPr>
          <w:rFonts w:ascii="Arial" w:cs="Arial" w:eastAsia="Arial" w:hAnsi="Arial"/>
          <w:sz w:val="20"/>
          <w:szCs w:val="20"/>
          <w:i w:val="1"/>
          <w:iCs w:val="1"/>
          <w:color w:val="auto"/>
        </w:rPr>
        <w:t>plus</w:t>
      </w:r>
    </w:p>
    <w:p>
      <w:pPr>
        <w:spacing w:after="0" w:line="176" w:lineRule="exact"/>
        <w:rPr>
          <w:rFonts w:ascii="Arial" w:cs="Arial" w:eastAsia="Arial" w:hAnsi="Arial"/>
          <w:sz w:val="20"/>
          <w:szCs w:val="20"/>
          <w:color w:val="auto"/>
        </w:rPr>
      </w:pPr>
    </w:p>
    <w:p>
      <w:pPr>
        <w:ind w:left="1660" w:hanging="415"/>
        <w:spacing w:after="0"/>
        <w:tabs>
          <w:tab w:leader="none" w:pos="1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Fixed Charges of such Person and its Subsidiaries for such period; </w:t>
      </w:r>
      <w:r>
        <w:rPr>
          <w:rFonts w:ascii="Arial" w:cs="Arial" w:eastAsia="Arial" w:hAnsi="Arial"/>
          <w:sz w:val="20"/>
          <w:szCs w:val="20"/>
          <w:i w:val="1"/>
          <w:iCs w:val="1"/>
          <w:color w:val="auto"/>
        </w:rPr>
        <w:t>plus</w:t>
      </w:r>
    </w:p>
    <w:p>
      <w:pPr>
        <w:spacing w:after="0" w:line="215" w:lineRule="exact"/>
        <w:rPr>
          <w:rFonts w:ascii="Arial" w:cs="Arial" w:eastAsia="Arial" w:hAnsi="Arial"/>
          <w:sz w:val="20"/>
          <w:szCs w:val="20"/>
          <w:color w:val="auto"/>
        </w:rPr>
      </w:pPr>
    </w:p>
    <w:p>
      <w:pPr>
        <w:ind w:left="-60" w:right="360" w:firstLine="1305"/>
        <w:spacing w:after="0" w:line="260" w:lineRule="auto"/>
        <w:tabs>
          <w:tab w:leader="none" w:pos="1647"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any foreign currency translation losses (including losses related to currency remeasurements of Indebtedness) of such Person and its Subsidiaries for such period; </w:t>
      </w:r>
      <w:r>
        <w:rPr>
          <w:rFonts w:ascii="Arial" w:cs="Arial" w:eastAsia="Arial" w:hAnsi="Arial"/>
          <w:sz w:val="20"/>
          <w:szCs w:val="20"/>
          <w:i w:val="1"/>
          <w:iCs w:val="1"/>
          <w:color w:val="auto"/>
        </w:rPr>
        <w:t>plus</w:t>
      </w:r>
    </w:p>
    <w:p>
      <w:pPr>
        <w:spacing w:after="0" w:line="176" w:lineRule="exact"/>
        <w:rPr>
          <w:rFonts w:ascii="Arial" w:cs="Arial" w:eastAsia="Arial" w:hAnsi="Arial"/>
          <w:sz w:val="20"/>
          <w:szCs w:val="20"/>
          <w:color w:val="auto"/>
        </w:rPr>
      </w:pPr>
    </w:p>
    <w:p>
      <w:pPr>
        <w:ind w:left="-60" w:right="120" w:firstLine="1305"/>
        <w:spacing w:after="0" w:line="258" w:lineRule="auto"/>
        <w:tabs>
          <w:tab w:leader="none" w:pos="1647"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depreciation, amortization (including amortization of intangibles and other assets but excluding amortization of prepaid cash expenses that were paid in a prior period), and any other non-cash charges, including any expenses or losses related to mark-to-market charges related to pension and post-retirement plans, non-cash costs associated with inventory purchase price adjustments and in process research and development, any write offs, write downs, losses or items and expenses, in each case, to the extent that such depreciation, amortization and other non-cash charges or expenses were deducted in computing Consolidated Net Income, but excluding any such non-cash charge or expense to the extent that it represents an accrual of or reserve for cash charges or expenses in any future period or amortization of a prepaid cash charge or expense that was paid in a prior period; </w:t>
      </w:r>
      <w:r>
        <w:rPr>
          <w:rFonts w:ascii="Arial" w:cs="Arial" w:eastAsia="Arial" w:hAnsi="Arial"/>
          <w:sz w:val="19"/>
          <w:szCs w:val="19"/>
          <w:i w:val="1"/>
          <w:iCs w:val="1"/>
          <w:color w:val="auto"/>
        </w:rPr>
        <w:t>plus</w:t>
      </w:r>
    </w:p>
    <w:p>
      <w:pPr>
        <w:spacing w:after="0" w:line="179" w:lineRule="exact"/>
        <w:rPr>
          <w:rFonts w:ascii="Arial" w:cs="Arial" w:eastAsia="Arial" w:hAnsi="Arial"/>
          <w:sz w:val="19"/>
          <w:szCs w:val="19"/>
          <w:color w:val="auto"/>
        </w:rPr>
      </w:pPr>
    </w:p>
    <w:p>
      <w:pPr>
        <w:ind w:left="-60" w:firstLine="1305"/>
        <w:spacing w:after="0" w:line="260" w:lineRule="auto"/>
        <w:tabs>
          <w:tab w:leader="none" w:pos="1647"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to the extent actually reimbursed, expenses incurred to the extent covered by indemnification provisions in any agreement in connection with any acquisition permitted under the Indenture; </w:t>
      </w:r>
      <w:r>
        <w:rPr>
          <w:rFonts w:ascii="Arial" w:cs="Arial" w:eastAsia="Arial" w:hAnsi="Arial"/>
          <w:sz w:val="20"/>
          <w:szCs w:val="20"/>
          <w:i w:val="1"/>
          <w:iCs w:val="1"/>
          <w:color w:val="auto"/>
        </w:rPr>
        <w:t>plus</w:t>
      </w:r>
    </w:p>
    <w:p>
      <w:pPr>
        <w:spacing w:after="0" w:line="176" w:lineRule="exact"/>
        <w:rPr>
          <w:rFonts w:ascii="Arial" w:cs="Arial" w:eastAsia="Arial" w:hAnsi="Arial"/>
          <w:sz w:val="20"/>
          <w:szCs w:val="20"/>
          <w:color w:val="auto"/>
        </w:rPr>
      </w:pPr>
    </w:p>
    <w:p>
      <w:pPr>
        <w:ind w:left="-60" w:right="120" w:firstLine="1305"/>
        <w:spacing w:after="0" w:line="260" w:lineRule="auto"/>
        <w:tabs>
          <w:tab w:leader="none" w:pos="1647"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any contingent or deferred payments (including earn-out payments, non-compete payments and consulting payments but excluding ongoing royalty payments) made in connection with any acquisition permitted under the Indenture; </w:t>
      </w:r>
      <w:r>
        <w:rPr>
          <w:rFonts w:ascii="Arial" w:cs="Arial" w:eastAsia="Arial" w:hAnsi="Arial"/>
          <w:sz w:val="20"/>
          <w:szCs w:val="20"/>
          <w:i w:val="1"/>
          <w:iCs w:val="1"/>
          <w:color w:val="auto"/>
        </w:rPr>
        <w:t>plus</w:t>
      </w:r>
    </w:p>
    <w:p>
      <w:pPr>
        <w:spacing w:after="0" w:line="176" w:lineRule="exact"/>
        <w:rPr>
          <w:rFonts w:ascii="Arial" w:cs="Arial" w:eastAsia="Arial" w:hAnsi="Arial"/>
          <w:sz w:val="20"/>
          <w:szCs w:val="20"/>
          <w:color w:val="auto"/>
        </w:rPr>
      </w:pPr>
    </w:p>
    <w:p>
      <w:pPr>
        <w:ind w:left="-60" w:right="560" w:firstLine="1305"/>
        <w:spacing w:after="0" w:line="260" w:lineRule="auto"/>
        <w:tabs>
          <w:tab w:leader="none" w:pos="1647"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deferred financing fees and milestone payments in connection with any Investment or series of related Investments permitted under the Indenture; </w:t>
      </w:r>
      <w:r>
        <w:rPr>
          <w:rFonts w:ascii="Arial" w:cs="Arial" w:eastAsia="Arial" w:hAnsi="Arial"/>
          <w:sz w:val="20"/>
          <w:szCs w:val="20"/>
          <w:i w:val="1"/>
          <w:iCs w:val="1"/>
          <w:color w:val="auto"/>
        </w:rPr>
        <w:t>plus</w:t>
      </w:r>
    </w:p>
    <w:p>
      <w:pPr>
        <w:spacing w:after="0" w:line="176" w:lineRule="exact"/>
        <w:rPr>
          <w:rFonts w:ascii="Arial" w:cs="Arial" w:eastAsia="Arial" w:hAnsi="Arial"/>
          <w:sz w:val="20"/>
          <w:szCs w:val="20"/>
          <w:color w:val="auto"/>
        </w:rPr>
      </w:pPr>
    </w:p>
    <w:p>
      <w:pPr>
        <w:ind w:left="1660" w:hanging="415"/>
        <w:spacing w:after="0"/>
        <w:tabs>
          <w:tab w:leader="none" w:pos="1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costs of surety bonds in connection with financing activities; </w:t>
      </w:r>
      <w:r>
        <w:rPr>
          <w:rFonts w:ascii="Arial" w:cs="Arial" w:eastAsia="Arial" w:hAnsi="Arial"/>
          <w:sz w:val="20"/>
          <w:szCs w:val="20"/>
          <w:i w:val="1"/>
          <w:iCs w:val="1"/>
          <w:color w:val="auto"/>
        </w:rPr>
        <w:t>plus</w:t>
      </w:r>
    </w:p>
    <w:p>
      <w:pPr>
        <w:spacing w:after="0" w:line="215" w:lineRule="exact"/>
        <w:rPr>
          <w:rFonts w:ascii="Arial" w:cs="Arial" w:eastAsia="Arial" w:hAnsi="Arial"/>
          <w:sz w:val="20"/>
          <w:szCs w:val="20"/>
          <w:color w:val="auto"/>
        </w:rPr>
      </w:pPr>
    </w:p>
    <w:p>
      <w:pPr>
        <w:ind w:left="-60" w:right="20" w:firstLine="1305"/>
        <w:spacing w:after="0" w:line="311" w:lineRule="auto"/>
        <w:tabs>
          <w:tab w:leader="none" w:pos="16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amount of factually supportable and identifiable cost savings related to operational efficiencies, expense reductions, strategic initiatives or improvements or other synergies, in each case, projected by the Company in good faith to be realized based upon actions taken, committed to be taken or reasonably expected to be taken within 24 months of the date of determination (calculated on a pro forma basis as though such cost savings, improvements and synergies had been realized on the first day of such period) (without duplication of the amount of actual benefit realized during such period from such actions), which cost savings, improvements and synergies can be reasonably computed, as certified in writing by a responsible financial or accounting officer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addbacks made pursuant to this clause (9) shall not exceed an amount equal to 20% of the Consolidated EBITDA of the Company for the then most recently ended four full fiscal quarter for which internal financial statements are available immediately preceding the date of determination; </w:t>
      </w:r>
      <w:r>
        <w:rPr>
          <w:rFonts w:ascii="Arial" w:cs="Arial" w:eastAsia="Arial" w:hAnsi="Arial"/>
          <w:sz w:val="16"/>
          <w:szCs w:val="16"/>
          <w:i w:val="1"/>
          <w:iCs w:val="1"/>
          <w:color w:val="auto"/>
        </w:rPr>
        <w:t>plus</w:t>
      </w:r>
    </w:p>
    <w:p>
      <w:pPr>
        <w:spacing w:after="0" w:line="145" w:lineRule="exact"/>
        <w:rPr>
          <w:rFonts w:ascii="Arial" w:cs="Arial" w:eastAsia="Arial" w:hAnsi="Arial"/>
          <w:sz w:val="16"/>
          <w:szCs w:val="16"/>
          <w:color w:val="auto"/>
        </w:rPr>
      </w:pPr>
    </w:p>
    <w:p>
      <w:pPr>
        <w:jc w:val="both"/>
        <w:ind w:left="-60" w:right="140" w:firstLine="1305"/>
        <w:spacing w:after="0" w:line="250" w:lineRule="auto"/>
        <w:tabs>
          <w:tab w:leader="none" w:pos="1746"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all other non-cash losses, expenses and charges of the Company and its Subsidiaries for such period, (excluding (x) the write down of current assets and (y) any such non-cash charge to the extent that it represents an accrual of or reserve for cash expenditures in any future period); </w:t>
      </w:r>
      <w:r>
        <w:rPr>
          <w:rFonts w:ascii="Arial" w:cs="Arial" w:eastAsia="Arial" w:hAnsi="Arial"/>
          <w:sz w:val="20"/>
          <w:szCs w:val="20"/>
          <w:i w:val="1"/>
          <w:iCs w:val="1"/>
          <w:color w:val="auto"/>
        </w:rPr>
        <w:t>plus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320"/>
          </w:cols>
          <w:pgMar w:left="300" w:top="366" w:right="279" w:bottom="1440" w:gutter="0" w:footer="0" w:header="0"/>
        </w:sectPr>
      </w:pPr>
    </w:p>
    <w:bookmarkStart w:id="16" w:name="page17"/>
    <w:bookmarkEnd w:id="16"/>
    <w:p>
      <w:pPr>
        <w:ind w:right="160" w:firstLine="1305"/>
        <w:spacing w:after="0" w:line="260" w:lineRule="auto"/>
        <w:tabs>
          <w:tab w:leader="none" w:pos="1799"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losses, charges, expenses, costs, accruals or reserves of any kind associated with any litigation (including any legal fees and expenses) and/or payment of actual or prospective legal settlements, finds, judgments or orders; </w:t>
      </w:r>
      <w:r>
        <w:rPr>
          <w:rFonts w:ascii="Arial" w:cs="Arial" w:eastAsia="Arial" w:hAnsi="Arial"/>
          <w:sz w:val="20"/>
          <w:szCs w:val="20"/>
          <w:i w:val="1"/>
          <w:iCs w:val="1"/>
          <w:color w:val="auto"/>
        </w:rPr>
        <w:t>plus</w:t>
      </w:r>
    </w:p>
    <w:p>
      <w:pPr>
        <w:spacing w:after="0" w:line="176" w:lineRule="exact"/>
        <w:rPr>
          <w:rFonts w:ascii="Arial" w:cs="Arial" w:eastAsia="Arial" w:hAnsi="Arial"/>
          <w:sz w:val="20"/>
          <w:szCs w:val="20"/>
          <w:color w:val="auto"/>
        </w:rPr>
      </w:pPr>
    </w:p>
    <w:p>
      <w:pPr>
        <w:ind w:left="1820" w:hanging="515"/>
        <w:spacing w:after="0"/>
        <w:tabs>
          <w:tab w:leader="none" w:pos="18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any loss from discontinued operations and any loss on disposal of discontinued operations; </w:t>
      </w:r>
      <w:r>
        <w:rPr>
          <w:rFonts w:ascii="Arial" w:cs="Arial" w:eastAsia="Arial" w:hAnsi="Arial"/>
          <w:sz w:val="20"/>
          <w:szCs w:val="20"/>
          <w:i w:val="1"/>
          <w:iCs w:val="1"/>
          <w:color w:val="auto"/>
        </w:rPr>
        <w:t>minus</w:t>
      </w:r>
    </w:p>
    <w:p>
      <w:pPr>
        <w:spacing w:after="0" w:line="215" w:lineRule="exact"/>
        <w:rPr>
          <w:rFonts w:ascii="Arial" w:cs="Arial" w:eastAsia="Arial" w:hAnsi="Arial"/>
          <w:sz w:val="20"/>
          <w:szCs w:val="20"/>
          <w:color w:val="auto"/>
        </w:rPr>
      </w:pPr>
    </w:p>
    <w:p>
      <w:pPr>
        <w:ind w:right="420" w:firstLine="1305"/>
        <w:spacing w:after="0" w:line="260" w:lineRule="auto"/>
        <w:tabs>
          <w:tab w:leader="none" w:pos="1806"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any foreign currency translation gains (including gains related to currency remeasurements of Indebtedness) of such Person and its Subsidiaries for such period; </w:t>
      </w:r>
      <w:r>
        <w:rPr>
          <w:rFonts w:ascii="Arial" w:cs="Arial" w:eastAsia="Arial" w:hAnsi="Arial"/>
          <w:sz w:val="20"/>
          <w:szCs w:val="20"/>
          <w:i w:val="1"/>
          <w:iCs w:val="1"/>
          <w:color w:val="auto"/>
        </w:rPr>
        <w:t>minus</w:t>
      </w:r>
    </w:p>
    <w:p>
      <w:pPr>
        <w:spacing w:after="0" w:line="176" w:lineRule="exact"/>
        <w:rPr>
          <w:rFonts w:ascii="Arial" w:cs="Arial" w:eastAsia="Arial" w:hAnsi="Arial"/>
          <w:sz w:val="20"/>
          <w:szCs w:val="20"/>
          <w:color w:val="auto"/>
        </w:rPr>
      </w:pPr>
    </w:p>
    <w:p>
      <w:pPr>
        <w:ind w:right="120" w:firstLine="1305"/>
        <w:spacing w:after="0" w:line="269" w:lineRule="auto"/>
        <w:tabs>
          <w:tab w:leader="none" w:pos="1806"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non-cash gains, including any gains related to mark-to-market gains related to pension and post-retirement plans, other than the accrual of revenue in the ordinary course of business and excluding any non-cash gains which represent the reversal of any accrual of, or reserve for, anticipated cash charges that reduced Consolidated EBITDA in any prior period; </w:t>
      </w:r>
      <w:r>
        <w:rPr>
          <w:rFonts w:ascii="Arial" w:cs="Arial" w:eastAsia="Arial" w:hAnsi="Arial"/>
          <w:sz w:val="19"/>
          <w:szCs w:val="19"/>
          <w:i w:val="1"/>
          <w:iCs w:val="1"/>
          <w:color w:val="auto"/>
        </w:rPr>
        <w:t>minus</w:t>
      </w:r>
    </w:p>
    <w:p>
      <w:pPr>
        <w:spacing w:after="0" w:line="170" w:lineRule="exact"/>
        <w:rPr>
          <w:rFonts w:ascii="Arial" w:cs="Arial" w:eastAsia="Arial" w:hAnsi="Arial"/>
          <w:sz w:val="19"/>
          <w:szCs w:val="19"/>
          <w:color w:val="auto"/>
        </w:rPr>
      </w:pPr>
    </w:p>
    <w:p>
      <w:pPr>
        <w:ind w:left="1820" w:hanging="515"/>
        <w:spacing w:after="0"/>
        <w:tabs>
          <w:tab w:leader="none" w:pos="18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any unusual or non-recurring gains for such period; </w:t>
      </w:r>
      <w:r>
        <w:rPr>
          <w:rFonts w:ascii="Arial" w:cs="Arial" w:eastAsia="Arial" w:hAnsi="Arial"/>
          <w:sz w:val="20"/>
          <w:szCs w:val="20"/>
          <w:i w:val="1"/>
          <w:iCs w:val="1"/>
          <w:color w:val="auto"/>
        </w:rPr>
        <w:t>minus</w:t>
      </w:r>
    </w:p>
    <w:p>
      <w:pPr>
        <w:spacing w:after="0" w:line="215" w:lineRule="exact"/>
        <w:rPr>
          <w:rFonts w:ascii="Arial" w:cs="Arial" w:eastAsia="Arial" w:hAnsi="Arial"/>
          <w:sz w:val="20"/>
          <w:szCs w:val="20"/>
          <w:color w:val="auto"/>
        </w:rPr>
      </w:pPr>
    </w:p>
    <w:p>
      <w:pPr>
        <w:ind w:left="1820" w:hanging="515"/>
        <w:spacing w:after="0"/>
        <w:tabs>
          <w:tab w:leader="none" w:pos="18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any income from discontinued operations and any gain on disposal of discontinued operations, </w:t>
      </w:r>
      <w:r>
        <w:rPr>
          <w:rFonts w:ascii="Arial" w:cs="Arial" w:eastAsia="Arial" w:hAnsi="Arial"/>
          <w:sz w:val="20"/>
          <w:szCs w:val="20"/>
          <w:i w:val="1"/>
          <w:iCs w:val="1"/>
          <w:color w:val="auto"/>
        </w:rPr>
        <w:t>minus</w:t>
      </w:r>
    </w:p>
    <w:p>
      <w:pPr>
        <w:spacing w:after="0" w:line="215" w:lineRule="exact"/>
        <w:rPr>
          <w:rFonts w:ascii="Arial" w:cs="Arial" w:eastAsia="Arial" w:hAnsi="Arial"/>
          <w:sz w:val="20"/>
          <w:szCs w:val="20"/>
          <w:color w:val="auto"/>
        </w:rPr>
      </w:pPr>
    </w:p>
    <w:p>
      <w:pPr>
        <w:ind w:left="1820" w:hanging="515"/>
        <w:spacing w:after="0"/>
        <w:tabs>
          <w:tab w:leader="none" w:pos="18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tax benefits based on income, profit or capital,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 each case, on a consolidated basis and determined in accordance with GAAP.</w:t>
      </w:r>
    </w:p>
    <w:p>
      <w:pPr>
        <w:spacing w:after="0" w:line="216"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Net Income</w:t>
      </w:r>
      <w:r>
        <w:rPr>
          <w:rFonts w:ascii="Arial" w:cs="Arial" w:eastAsia="Arial" w:hAnsi="Arial"/>
          <w:sz w:val="20"/>
          <w:szCs w:val="20"/>
          <w:color w:val="auto"/>
        </w:rPr>
        <w:t xml:space="preserve">” means, with respect to any specified Person for any period, the aggregate of the net income (loss) attributable to common shareholders of such Person and its Subsidiaries for such period, on a consolidated basis, determined in accordance with GAAP and without any reduction in respect of preferred stock dividends;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spacing w:after="0" w:line="186" w:lineRule="exact"/>
        <w:rPr>
          <w:sz w:val="20"/>
          <w:szCs w:val="20"/>
          <w:color w:val="auto"/>
        </w:rPr>
      </w:pPr>
    </w:p>
    <w:p>
      <w:pPr>
        <w:ind w:right="20" w:firstLine="1305"/>
        <w:spacing w:after="0" w:line="256" w:lineRule="auto"/>
        <w:tabs>
          <w:tab w:leader="none" w:pos="1707" w:val="left"/>
        </w:tabs>
        <w:numPr>
          <w:ilvl w:val="0"/>
          <w:numId w:val="13"/>
        </w:numPr>
        <w:rPr>
          <w:rFonts w:ascii="Arial" w:cs="Arial" w:eastAsia="Arial" w:hAnsi="Arial"/>
          <w:sz w:val="19"/>
          <w:szCs w:val="19"/>
          <w:color w:val="auto"/>
        </w:rPr>
      </w:pPr>
      <w:r>
        <w:rPr>
          <w:rFonts w:ascii="Arial" w:cs="Arial" w:eastAsia="Arial" w:hAnsi="Arial"/>
          <w:sz w:val="19"/>
          <w:szCs w:val="19"/>
          <w:color w:val="auto"/>
        </w:rPr>
        <w:t>any after-tax effect of extraordinary, non-recurring or unusual losses, charges or premiums including, but not limited to, any expenses or charges related to any Equity Offering, incurrence of Indebtedness permitted to be incurred under the Indenture, acquisition, restructuring, integration (including, without limitation, the sale, closure or consolidation of facilities and start-up costs related to new facilities), transition, executive recruiting, severance (including, but not limited to, any severance payments related to management employment contracts), relocation costs and curtailments or modifications to pension and post-retirement employee benefit plans, recapitalization or the amendment, modification or refinancing of Indebtedness (including a refinancing thereof) (whether or not successful) (for the avoidance of doubt, the losses, charges and premiums identified in this clause include, without limitation, the Transaction Costs, any future losses, charges or premiums associated with the prepayment and the related prepayment make-whole amounts of any other refinancings undertaken in the future and any amounts paid or charges incurred in connection with the termination of interest rate swaps entered into in the future in connection with any Credit Facilities), will be excluded;</w:t>
      </w:r>
    </w:p>
    <w:p>
      <w:pPr>
        <w:spacing w:after="0" w:line="181" w:lineRule="exact"/>
        <w:rPr>
          <w:rFonts w:ascii="Arial" w:cs="Arial" w:eastAsia="Arial" w:hAnsi="Arial"/>
          <w:sz w:val="19"/>
          <w:szCs w:val="19"/>
          <w:color w:val="auto"/>
        </w:rPr>
      </w:pPr>
    </w:p>
    <w:p>
      <w:pPr>
        <w:ind w:right="300" w:firstLine="1305"/>
        <w:spacing w:after="0" w:line="250" w:lineRule="auto"/>
        <w:tabs>
          <w:tab w:leader="none" w:pos="1707" w:val="left"/>
        </w:tabs>
        <w:numPr>
          <w:ilvl w:val="0"/>
          <w:numId w:val="13"/>
        </w:numPr>
        <w:rPr>
          <w:rFonts w:ascii="Arial" w:cs="Arial" w:eastAsia="Arial" w:hAnsi="Arial"/>
          <w:sz w:val="20"/>
          <w:szCs w:val="20"/>
          <w:color w:val="auto"/>
        </w:rPr>
      </w:pPr>
      <w:r>
        <w:rPr>
          <w:rFonts w:ascii="Arial" w:cs="Arial" w:eastAsia="Arial" w:hAnsi="Arial"/>
          <w:sz w:val="20"/>
          <w:szCs w:val="20"/>
          <w:color w:val="auto"/>
        </w:rPr>
        <w:t>all extraordinary losses and expenses and all gains and losses realized in connection with any asset sale or other disposition, disposition of securities or early extinguishment of Indebtedness, together with any related provision for taxes on any such gain, will be excluded;</w:t>
      </w:r>
    </w:p>
    <w:p>
      <w:pPr>
        <w:spacing w:after="0" w:line="186" w:lineRule="exact"/>
        <w:rPr>
          <w:rFonts w:ascii="Arial" w:cs="Arial" w:eastAsia="Arial" w:hAnsi="Arial"/>
          <w:sz w:val="20"/>
          <w:szCs w:val="20"/>
          <w:color w:val="auto"/>
        </w:rPr>
      </w:pPr>
    </w:p>
    <w:p>
      <w:pPr>
        <w:ind w:right="260" w:firstLine="1305"/>
        <w:spacing w:after="0" w:line="260" w:lineRule="auto"/>
        <w:tabs>
          <w:tab w:leader="none" w:pos="1707"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net income and loss of any Person that is accounted for by the equity method of accounting will be included only to the extent of the amount of dividends or similar distributions paid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66" w:right="239" w:bottom="1440" w:gutter="0" w:footer="0" w:header="0"/>
        </w:sectPr>
      </w:pPr>
    </w:p>
    <w:bookmarkStart w:id="17" w:name="page18"/>
    <w:bookmarkEnd w:id="17"/>
    <w:p>
      <w:pPr>
        <w:spacing w:after="0"/>
        <w:rPr>
          <w:sz w:val="20"/>
          <w:szCs w:val="20"/>
          <w:color w:val="auto"/>
        </w:rPr>
      </w:pPr>
      <w:r>
        <w:rPr>
          <w:rFonts w:ascii="Arial" w:cs="Arial" w:eastAsia="Arial" w:hAnsi="Arial"/>
          <w:sz w:val="20"/>
          <w:szCs w:val="20"/>
          <w:color w:val="auto"/>
        </w:rPr>
        <w:t>in cash (or to the extent converted into cash or Cash Equivalents) to the specified Person or a Subsidiary of the Person;</w:t>
      </w:r>
    </w:p>
    <w:p>
      <w:pPr>
        <w:spacing w:after="0" w:line="216" w:lineRule="exact"/>
        <w:rPr>
          <w:sz w:val="20"/>
          <w:szCs w:val="20"/>
          <w:color w:val="auto"/>
        </w:rPr>
      </w:pPr>
    </w:p>
    <w:p>
      <w:pPr>
        <w:ind w:left="1720" w:hanging="415"/>
        <w:spacing w:after="0"/>
        <w:tabs>
          <w:tab w:leader="none" w:pos="1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cumulative effect of a change in accounting principles will be excluded;</w:t>
      </w:r>
    </w:p>
    <w:p>
      <w:pPr>
        <w:spacing w:after="0" w:line="215" w:lineRule="exact"/>
        <w:rPr>
          <w:rFonts w:ascii="Arial" w:cs="Arial" w:eastAsia="Arial" w:hAnsi="Arial"/>
          <w:sz w:val="20"/>
          <w:szCs w:val="20"/>
          <w:color w:val="auto"/>
        </w:rPr>
      </w:pPr>
    </w:p>
    <w:p>
      <w:pPr>
        <w:ind w:right="120" w:firstLine="1305"/>
        <w:spacing w:after="0" w:line="250" w:lineRule="auto"/>
        <w:tabs>
          <w:tab w:leader="none" w:pos="1707" w:val="left"/>
        </w:tabs>
        <w:numPr>
          <w:ilvl w:val="0"/>
          <w:numId w:val="14"/>
        </w:numPr>
        <w:rPr>
          <w:rFonts w:ascii="Arial" w:cs="Arial" w:eastAsia="Arial" w:hAnsi="Arial"/>
          <w:sz w:val="20"/>
          <w:szCs w:val="20"/>
          <w:color w:val="auto"/>
        </w:rPr>
      </w:pPr>
      <w:r>
        <w:rPr>
          <w:rFonts w:ascii="Arial" w:cs="Arial" w:eastAsia="Arial" w:hAnsi="Arial"/>
          <w:sz w:val="20"/>
          <w:szCs w:val="20"/>
          <w:color w:val="auto"/>
        </w:rPr>
        <w:t>non-cash gains and losses attributable to movement in the mark-to-market valuation of (a) Hedging Obligations pursuant to FASB Accounting Standards Codification Topic 815 —Derivatives and Hedging and (b) foreign currencies or derivative instruments pursuant to GAAP, will be excluded;</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 net unrealized gains or losses (after any offset) with respect to Hedging Obligations will be excluded;</w:t>
      </w:r>
    </w:p>
    <w:p>
      <w:pPr>
        <w:spacing w:after="0" w:line="215" w:lineRule="exact"/>
        <w:rPr>
          <w:rFonts w:ascii="Arial" w:cs="Arial" w:eastAsia="Arial" w:hAnsi="Arial"/>
          <w:sz w:val="20"/>
          <w:szCs w:val="20"/>
          <w:color w:val="auto"/>
        </w:rPr>
      </w:pPr>
    </w:p>
    <w:p>
      <w:pPr>
        <w:ind w:right="420" w:firstLine="1305"/>
        <w:spacing w:after="0" w:line="250" w:lineRule="auto"/>
        <w:tabs>
          <w:tab w:leader="none" w:pos="1707" w:val="left"/>
        </w:tabs>
        <w:numPr>
          <w:ilvl w:val="0"/>
          <w:numId w:val="14"/>
        </w:numPr>
        <w:rPr>
          <w:rFonts w:ascii="Arial" w:cs="Arial" w:eastAsia="Arial" w:hAnsi="Arial"/>
          <w:sz w:val="20"/>
          <w:szCs w:val="20"/>
          <w:color w:val="auto"/>
        </w:rPr>
      </w:pPr>
      <w:r>
        <w:rPr>
          <w:rFonts w:ascii="Arial" w:cs="Arial" w:eastAsia="Arial" w:hAnsi="Arial"/>
          <w:sz w:val="20"/>
          <w:szCs w:val="20"/>
          <w:color w:val="auto"/>
        </w:rPr>
        <w:t>(i) any non-cash compensation charges and expenses recorded from grants of stock appreciation or similar rights, phantom equity, stock options, restricted stock, units or other rights to officers, directors, managers or employees and (ii) non-cash income (loss) attributable to deferred compensation plans or trusts, shall be excluded;</w:t>
      </w:r>
    </w:p>
    <w:p>
      <w:pPr>
        <w:spacing w:after="0" w:line="186" w:lineRule="exact"/>
        <w:rPr>
          <w:rFonts w:ascii="Arial" w:cs="Arial" w:eastAsia="Arial" w:hAnsi="Arial"/>
          <w:sz w:val="20"/>
          <w:szCs w:val="20"/>
          <w:color w:val="auto"/>
        </w:rPr>
      </w:pPr>
    </w:p>
    <w:p>
      <w:pPr>
        <w:jc w:val="both"/>
        <w:ind w:right="260" w:firstLine="1305"/>
        <w:spacing w:after="0" w:line="269" w:lineRule="auto"/>
        <w:tabs>
          <w:tab w:leader="none" w:pos="1707"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any impairment charge, asset write-off or write-down, including impairment charges or asset write-offs or write-downs related to intangible assets, long-lived assets, investments in debt and equity securities or as a result of a change in law or regulation, in each case, pursuant to GAAP and the amortization of intangibles arising pursuant to GAAP shall be excluded;</w:t>
      </w:r>
    </w:p>
    <w:p>
      <w:pPr>
        <w:spacing w:after="0" w:line="170" w:lineRule="exact"/>
        <w:rPr>
          <w:rFonts w:ascii="Arial" w:cs="Arial" w:eastAsia="Arial" w:hAnsi="Arial"/>
          <w:sz w:val="19"/>
          <w:szCs w:val="19"/>
          <w:color w:val="auto"/>
        </w:rPr>
      </w:pPr>
    </w:p>
    <w:p>
      <w:pPr>
        <w:ind w:right="200" w:firstLine="1305"/>
        <w:spacing w:after="0" w:line="291" w:lineRule="auto"/>
        <w:tabs>
          <w:tab w:leader="none" w:pos="17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amortization of deferred charges or debt discount resulting from the application of FASB Accounting Standards Codification Topic 470-20—Debt—Debt with Conversion and Other Options (formerly FASB Staff Position No. APB 14-1—Accounting for Convertible Debt Instruments That May Be Settled in Cash Upon Conversion (Including Partial Cash Settlement)) will be excluded;</w:t>
      </w:r>
    </w:p>
    <w:p>
      <w:pPr>
        <w:spacing w:after="0" w:line="151" w:lineRule="exact"/>
        <w:rPr>
          <w:rFonts w:ascii="Arial" w:cs="Arial" w:eastAsia="Arial" w:hAnsi="Arial"/>
          <w:sz w:val="18"/>
          <w:szCs w:val="18"/>
          <w:color w:val="auto"/>
        </w:rPr>
      </w:pPr>
    </w:p>
    <w:p>
      <w:pPr>
        <w:ind w:right="40" w:firstLine="1305"/>
        <w:spacing w:after="0" w:line="260" w:lineRule="auto"/>
        <w:tabs>
          <w:tab w:leader="none" w:pos="1806" w:val="left"/>
        </w:tabs>
        <w:numPr>
          <w:ilvl w:val="0"/>
          <w:numId w:val="14"/>
        </w:numPr>
        <w:rPr>
          <w:rFonts w:ascii="Arial" w:cs="Arial" w:eastAsia="Arial" w:hAnsi="Arial"/>
          <w:sz w:val="20"/>
          <w:szCs w:val="20"/>
          <w:color w:val="auto"/>
        </w:rPr>
      </w:pPr>
      <w:r>
        <w:rPr>
          <w:rFonts w:ascii="Arial" w:cs="Arial" w:eastAsia="Arial" w:hAnsi="Arial"/>
          <w:sz w:val="20"/>
          <w:szCs w:val="20"/>
          <w:color w:val="auto"/>
        </w:rPr>
        <w:t>accruals and reserves that are established within twelve months after the Issue Date that are so required to be established as a result of the Refinancing Transactions in accordance with GAAP will be excluded; and</w:t>
      </w:r>
    </w:p>
    <w:p>
      <w:pPr>
        <w:spacing w:after="0" w:line="176" w:lineRule="exact"/>
        <w:rPr>
          <w:rFonts w:ascii="Arial" w:cs="Arial" w:eastAsia="Arial" w:hAnsi="Arial"/>
          <w:sz w:val="20"/>
          <w:szCs w:val="20"/>
          <w:color w:val="auto"/>
        </w:rPr>
      </w:pPr>
    </w:p>
    <w:p>
      <w:pPr>
        <w:ind w:firstLine="1305"/>
        <w:spacing w:after="0" w:line="278" w:lineRule="auto"/>
        <w:tabs>
          <w:tab w:leader="none" w:pos="179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covered by insurance or indemnification and actually reimbursed, or, so long as the Company has made a determination that there exists reasonable evidence that such amount will in fact be reimbursed by the insurer or indemnifying party and only to the extent that such amount is (a) not denied by the applicable carrier or indemnifying party in writing within 180 days and (b) in fact reimbursed within 365 days of the date of such evidence (with a deduction for any amount so added back to the extent not so reimbursed within 365 days), losses and expenses with respect to liability or casualty events or business interruption shall be excluded.</w:t>
      </w:r>
    </w:p>
    <w:p>
      <w:pPr>
        <w:spacing w:after="0" w:line="165"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Net Secured Leverage Ratio</w:t>
      </w:r>
      <w:r>
        <w:rPr>
          <w:rFonts w:ascii="Arial" w:cs="Arial" w:eastAsia="Arial" w:hAnsi="Arial"/>
          <w:sz w:val="20"/>
          <w:szCs w:val="20"/>
          <w:color w:val="auto"/>
        </w:rPr>
        <w:t>” means, as of any date of determination, the ratio of (1) the Indebtedness of the Company that is outstanding and that is secured by a Lien on the assets of the Company or any of its Subsidiaries as of such date minus Cash Equivalents included on the consolidated balance sheet of the Company as of the end of the most recent fiscal quarter for which internal financial statements are available immediately preceding the date of determination and still held by the Company as of such date to (2) the Consolidated EBITDA of the Company for the then most recently ended four full fiscal quarters for which internal financial statements are available immediately preceding the date of determination, in each case with such pro forma adjustments as are consistent with the pro forma adjustment provisions set forth in this definition.</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00"/>
          </w:cols>
          <w:pgMar w:left="240" w:top="366" w:right="259" w:bottom="1440" w:gutter="0" w:footer="0" w:header="0"/>
        </w:sectPr>
      </w:pPr>
    </w:p>
    <w:bookmarkStart w:id="18" w:name="page19"/>
    <w:bookmarkEnd w:id="18"/>
    <w:p>
      <w:pPr>
        <w:ind w:left="660"/>
        <w:spacing w:after="0"/>
        <w:rPr>
          <w:sz w:val="20"/>
          <w:szCs w:val="20"/>
          <w:color w:val="auto"/>
        </w:rPr>
      </w:pPr>
      <w:r>
        <w:rPr>
          <w:rFonts w:ascii="Arial" w:cs="Arial" w:eastAsia="Arial" w:hAnsi="Arial"/>
          <w:sz w:val="20"/>
          <w:szCs w:val="20"/>
          <w:color w:val="auto"/>
        </w:rPr>
        <w:t>In addition, for purposes of calculating the Consolidated Net Secured Leverage Ratio:</w:t>
      </w:r>
    </w:p>
    <w:p>
      <w:pPr>
        <w:spacing w:after="0" w:line="216" w:lineRule="exact"/>
        <w:rPr>
          <w:sz w:val="20"/>
          <w:szCs w:val="20"/>
          <w:color w:val="auto"/>
        </w:rPr>
      </w:pPr>
    </w:p>
    <w:p>
      <w:pPr>
        <w:ind w:right="60" w:firstLine="1305"/>
        <w:spacing w:after="0" w:line="316" w:lineRule="auto"/>
        <w:tabs>
          <w:tab w:leader="none" w:pos="1707"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Investments, acquisitions, dispositions and mergers or consolidations that have been made by the specified Person or any of its Subsidiaries, or any Person or any of its Subsidiaries acquired by the specified Person or any of its Subsidiaries, and including all related financing transactions and including increases in ownership of Subsidiaries, during the four-quarter reference period or subsequent to such reference period and on or prior to the date on which the event for which the calculation of the Consolidated Net Secured Leverage Ratio is made (the “Calculation Date”), or that are to be made on the Calculation Date, will be given pro forma effect (as determined in good faith by a responsible financial or accounting officer of the Company) as if they had occurred on the first day of the four-quarter reference period;</w:t>
      </w:r>
    </w:p>
    <w:p>
      <w:pPr>
        <w:spacing w:after="0" w:line="140" w:lineRule="exact"/>
        <w:rPr>
          <w:rFonts w:ascii="Arial" w:cs="Arial" w:eastAsia="Arial" w:hAnsi="Arial"/>
          <w:sz w:val="16"/>
          <w:szCs w:val="16"/>
          <w:color w:val="auto"/>
        </w:rPr>
      </w:pPr>
    </w:p>
    <w:p>
      <w:pPr>
        <w:ind w:right="740" w:firstLine="1305"/>
        <w:spacing w:after="0" w:line="316" w:lineRule="auto"/>
        <w:tabs>
          <w:tab w:leader="none" w:pos="17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Consolidated EBITDA attributable to discontinued operations, as determined in accordance with GAAP, and operations or businesses (and ownership interests therein) disposed of prior to the Calculation Date, will be excluded;</w:t>
      </w:r>
    </w:p>
    <w:p>
      <w:pPr>
        <w:spacing w:after="0" w:line="130" w:lineRule="exact"/>
        <w:rPr>
          <w:rFonts w:ascii="Arial" w:cs="Arial" w:eastAsia="Arial" w:hAnsi="Arial"/>
          <w:sz w:val="18"/>
          <w:szCs w:val="18"/>
          <w:color w:val="auto"/>
        </w:rPr>
      </w:pPr>
    </w:p>
    <w:p>
      <w:pPr>
        <w:ind w:firstLine="1305"/>
        <w:spacing w:after="0" w:line="246" w:lineRule="auto"/>
        <w:tabs>
          <w:tab w:leader="none" w:pos="1707"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Subsidiaries following the Calculation Date;</w:t>
      </w:r>
    </w:p>
    <w:p>
      <w:pPr>
        <w:spacing w:after="0" w:line="191" w:lineRule="exact"/>
        <w:rPr>
          <w:rFonts w:ascii="Arial" w:cs="Arial" w:eastAsia="Arial" w:hAnsi="Arial"/>
          <w:sz w:val="20"/>
          <w:szCs w:val="20"/>
          <w:color w:val="auto"/>
        </w:rPr>
      </w:pPr>
    </w:p>
    <w:p>
      <w:pPr>
        <w:jc w:val="both"/>
        <w:ind w:right="80" w:firstLine="1305"/>
        <w:spacing w:after="0" w:line="291" w:lineRule="auto"/>
        <w:tabs>
          <w:tab w:leader="none" w:pos="17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of the Calculation Date in excess of 12 months).</w:t>
      </w:r>
    </w:p>
    <w:p>
      <w:pPr>
        <w:spacing w:after="0" w:line="1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8"/>
          <w:szCs w:val="18"/>
          <w:color w:val="auto"/>
        </w:rPr>
        <w:t>For purposes of this definition, whenever pro forma effect is to be given to an Investment, acquisition, disposition and merger or consolidation, the pro forma calculations shall include factually supportable and identifiable pro forma cost savings related to operational efficiencies, expense reductions, strategic initiatives or improvements or other synergies, in each case, projected by the Company in good faith to be realized based upon actions taken, committed to be taken or reasonably expected to be taken within 18 months of the Calculation Date (without duplication of the amount of actual benefit realized during such period from such actions), which cost savings, improvements and synergies can be reasonably computed, as certified in writing by a responsible financial or accounting officer of the Company. Interest on a Capital Lease Obligation shall be deemed to accrue at an interest rate reasonably determined by a responsible financial or accounting officer of the Company to be the rate of interest implicit in such Capital Lease Obligation in accordance with GAAP. For purposes of making the computation referred to above, interest on any Indebtedness under revolving credit facilities computed on a pro forma basis shall be computed based upon the average daily balance of such Indebtedness during the applicable period, or if lower, the maximum commitments under such revolving credit facilities as of the applicable Calculation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Company may designate.</w:t>
      </w:r>
    </w:p>
    <w:p>
      <w:pPr>
        <w:spacing w:after="0" w:line="174" w:lineRule="exact"/>
        <w:rPr>
          <w:sz w:val="20"/>
          <w:szCs w:val="20"/>
          <w:color w:val="auto"/>
        </w:rPr>
      </w:pPr>
    </w:p>
    <w:p>
      <w:pPr>
        <w:ind w:left="660"/>
        <w:spacing w:after="0"/>
        <w:tabs>
          <w:tab w:leader="none" w:pos="92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continuing</w:t>
      </w:r>
      <w:r>
        <w:rPr>
          <w:rFonts w:ascii="Arial" w:cs="Arial" w:eastAsia="Arial" w:hAnsi="Arial"/>
          <w:sz w:val="18"/>
          <w:szCs w:val="18"/>
          <w:color w:val="auto"/>
        </w:rPr>
        <w:t>” means, with respect to any Default or Event of Default, that such Default or Event of Default has not been cured or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waived.</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360"/>
          </w:cols>
          <w:pgMar w:left="240" w:top="366" w:right="299" w:bottom="1440" w:gutter="0" w:footer="0" w:header="0"/>
        </w:sectPr>
      </w:pPr>
    </w:p>
    <w:bookmarkStart w:id="19" w:name="page20"/>
    <w:bookmarkEnd w:id="19"/>
    <w:p>
      <w:pPr>
        <w:ind w:right="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Corporate Trust Office</w:t>
      </w:r>
      <w:r>
        <w:rPr>
          <w:rFonts w:ascii="Arial" w:cs="Arial" w:eastAsia="Arial" w:hAnsi="Arial"/>
          <w:sz w:val="20"/>
          <w:szCs w:val="20"/>
          <w:color w:val="auto"/>
        </w:rPr>
        <w:t>” means the address of the Trustee specified in Section 12.2 of the Original Indenture or such other address as to which the Trustee may give notice to the Company.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Covenant Defeasance</w:t>
      </w:r>
      <w:r>
        <w:rPr>
          <w:rFonts w:ascii="Arial" w:cs="Arial" w:eastAsia="Arial" w:hAnsi="Arial"/>
          <w:sz w:val="20"/>
          <w:szCs w:val="20"/>
          <w:color w:val="auto"/>
        </w:rPr>
        <w:t>” has the meaning specified in Section 7.03.</w:t>
      </w:r>
    </w:p>
    <w:p>
      <w:pPr>
        <w:spacing w:after="0" w:line="216" w:lineRule="exact"/>
        <w:rPr>
          <w:sz w:val="20"/>
          <w:szCs w:val="20"/>
          <w:color w:val="auto"/>
        </w:rPr>
      </w:pPr>
    </w:p>
    <w:p>
      <w:pPr>
        <w:ind w:right="300" w:firstLine="656"/>
        <w:spacing w:after="0" w:line="278" w:lineRule="auto"/>
        <w:tabs>
          <w:tab w:leader="none" w:pos="9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means that certain Eighth Amended and Restated Credit Agreement, dated as of March 26, 2018, by and among the Company, the subsidiary borrowers party thereto, the lenders party thereto and JPMorgan Chase Bank, N.A., as Administrative Agent, including any related notes, Guarantees, collateral documents, instruments and agreements executed in connection therewith, and, in each case, as amended, restated, modified, renewed, refunded, replaced in any manner (whether upon or after termination or otherwise) or refinanced (including by means of sales of debt securities to institutional investors) in whole or in part from time to time.</w:t>
      </w:r>
    </w:p>
    <w:p>
      <w:pPr>
        <w:spacing w:after="0" w:line="165" w:lineRule="exact"/>
        <w:rPr>
          <w:sz w:val="20"/>
          <w:szCs w:val="20"/>
          <w:color w:val="auto"/>
        </w:rPr>
      </w:pPr>
    </w:p>
    <w:p>
      <w:pPr>
        <w:ind w:firstLine="656"/>
        <w:spacing w:after="0" w:line="256" w:lineRule="auto"/>
        <w:tabs>
          <w:tab w:leader="none" w:pos="927" w:val="left"/>
        </w:tabs>
        <w:numPr>
          <w:ilvl w:val="0"/>
          <w:numId w:val="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Credit Facilities</w:t>
      </w:r>
      <w:r>
        <w:rPr>
          <w:rFonts w:ascii="Arial" w:cs="Arial" w:eastAsia="Arial" w:hAnsi="Arial"/>
          <w:sz w:val="19"/>
          <w:szCs w:val="19"/>
          <w:color w:val="auto"/>
        </w:rPr>
        <w:t>” means, one or more debt facilities (including, without limitation, the Credit Agreement) or other financing arrangements (including, without limitation, commercial paper facilities or indentures), in each case, providing for revolving credit loans, term loans, receivables financing (including through the sale of receivables to such lenders or to special purpose entities formed to borrow from such lenders against such receivables), letters of credit or other indebtedness, including any notes, mortgages, guarantees, collateral documents, instruments and agreements executed in connection therewith, in each case, as amended, supplemented, restated, modified, renewed, refunded, replaced in any manner (whether upon or after termination or otherwise) or refinanced (including by means of sales of debt securities) in whole or in part from time to time, including any such replacement, refunding or refinancing facility or indenture that increases the amount permitted to be borrowed thereunder or alters the maturity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increase in borrowings is permitted, to the extent applicable, under Section 4.03) or adds Subsidiaries as additional borrowers or guarantors thereunder and whether by the same or any other agent, lender or group of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Custodian</w:t>
      </w:r>
      <w:r>
        <w:rPr>
          <w:rFonts w:ascii="Arial" w:cs="Arial" w:eastAsia="Arial" w:hAnsi="Arial"/>
          <w:sz w:val="16"/>
          <w:szCs w:val="16"/>
          <w:color w:val="auto"/>
        </w:rPr>
        <w:t>” means the Trustee, as custodian with respect to the Notes (so long as the Notes constitute Global Notes), or any successor</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entity.</w:t>
      </w:r>
    </w:p>
    <w:p>
      <w:pPr>
        <w:spacing w:after="0" w:line="200" w:lineRule="exact"/>
        <w:rPr>
          <w:sz w:val="20"/>
          <w:szCs w:val="20"/>
          <w:color w:val="auto"/>
        </w:rPr>
      </w:pPr>
    </w:p>
    <w:p>
      <w:pPr>
        <w:ind w:left="660"/>
        <w:spacing w:after="0"/>
        <w:tabs>
          <w:tab w:leader="none" w:pos="92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16" w:lineRule="exact"/>
        <w:rPr>
          <w:sz w:val="20"/>
          <w:szCs w:val="20"/>
          <w:color w:val="auto"/>
        </w:rPr>
      </w:pPr>
    </w:p>
    <w:p>
      <w:pPr>
        <w:ind w:right="4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Depository</w:t>
      </w:r>
      <w:r>
        <w:rPr>
          <w:rFonts w:ascii="Arial" w:cs="Arial" w:eastAsia="Arial" w:hAnsi="Arial"/>
          <w:sz w:val="20"/>
          <w:szCs w:val="20"/>
          <w:color w:val="auto"/>
        </w:rPr>
        <w:t>” means initially The Depository Trust Company until a successor Depository shall have become such pursuant to the applicable provisions of the Indenture, and thereafter “Depository” shall mean such successor Depository.</w:t>
      </w:r>
    </w:p>
    <w:p>
      <w:pPr>
        <w:spacing w:after="0" w:line="177"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Domestic Subsidiary</w:t>
      </w:r>
      <w:r>
        <w:rPr>
          <w:rFonts w:ascii="Arial" w:cs="Arial" w:eastAsia="Arial" w:hAnsi="Arial"/>
          <w:sz w:val="20"/>
          <w:szCs w:val="20"/>
          <w:color w:val="auto"/>
        </w:rPr>
        <w:t>” means any Subsidiary of the Company that is, at the time of determination, organized under the laws of the United States or any state of the United States or the District of Columbia.</w:t>
      </w:r>
    </w:p>
    <w:p>
      <w:pPr>
        <w:spacing w:after="0" w:line="177" w:lineRule="exact"/>
        <w:rPr>
          <w:sz w:val="20"/>
          <w:szCs w:val="20"/>
          <w:color w:val="auto"/>
        </w:rPr>
      </w:pPr>
    </w:p>
    <w:p>
      <w:pPr>
        <w:ind w:right="200" w:firstLine="656"/>
        <w:spacing w:after="0" w:line="260" w:lineRule="auto"/>
        <w:tabs>
          <w:tab w:leader="none" w:pos="977" w:val="left"/>
        </w:tabs>
        <w:numPr>
          <w:ilvl w:val="0"/>
          <w:numId w:val="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Equity Interests</w:t>
      </w:r>
      <w:r>
        <w:rPr>
          <w:rFonts w:ascii="Arial" w:cs="Arial" w:eastAsia="Arial" w:hAnsi="Arial"/>
          <w:sz w:val="20"/>
          <w:szCs w:val="20"/>
          <w:color w:val="auto"/>
        </w:rPr>
        <w:t>” means Capital Stock and all warrants, options or other rights to acquire Capital Stock (but excluding any debt security that is convertible into, or exchangeable for, Capital Stock).</w:t>
      </w:r>
    </w:p>
    <w:p>
      <w:pPr>
        <w:spacing w:after="0" w:line="177" w:lineRule="exact"/>
        <w:rPr>
          <w:sz w:val="20"/>
          <w:szCs w:val="20"/>
          <w:color w:val="auto"/>
        </w:rPr>
      </w:pPr>
    </w:p>
    <w:p>
      <w:pPr>
        <w:ind w:left="660"/>
        <w:spacing w:after="0"/>
        <w:tabs>
          <w:tab w:leader="none" w:pos="92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Equity Offering</w:t>
      </w:r>
      <w:r>
        <w:rPr>
          <w:rFonts w:ascii="Arial" w:cs="Arial" w:eastAsia="Arial" w:hAnsi="Arial"/>
          <w:sz w:val="18"/>
          <w:szCs w:val="18"/>
          <w:color w:val="auto"/>
        </w:rPr>
        <w:t>” means a public or private sale either:</w:t>
      </w:r>
    </w:p>
    <w:p>
      <w:pPr>
        <w:spacing w:after="0" w:line="216" w:lineRule="exact"/>
        <w:rPr>
          <w:sz w:val="20"/>
          <w:szCs w:val="20"/>
          <w:color w:val="auto"/>
        </w:rPr>
      </w:pPr>
    </w:p>
    <w:p>
      <w:pPr>
        <w:ind w:left="5620" w:right="2120" w:hanging="4964"/>
        <w:spacing w:after="0" w:line="740" w:lineRule="auto"/>
        <w:tabs>
          <w:tab w:leader="none" w:pos="131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of Equity Interests of the Company by the Company (other than to a Subsidiary of the Company), or 10</w:t>
      </w:r>
    </w:p>
    <w:p>
      <w:pPr>
        <w:sectPr>
          <w:pgSz w:w="11900" w:h="16838" w:orient="portrait"/>
          <w:cols w:equalWidth="0" w:num="1">
            <w:col w:w="11380"/>
          </w:cols>
          <w:pgMar w:left="240" w:top="366" w:right="279" w:bottom="1440" w:gutter="0" w:footer="0" w:header="0"/>
        </w:sectPr>
      </w:pPr>
    </w:p>
    <w:bookmarkStart w:id="20" w:name="page21"/>
    <w:bookmarkEnd w:id="20"/>
    <w:p>
      <w:pPr>
        <w:ind w:left="1292" w:right="560" w:hanging="644"/>
        <w:spacing w:after="0" w:line="316" w:lineRule="auto"/>
        <w:tabs>
          <w:tab w:leader="none" w:pos="12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 Equity Interests of a direct or indirect parent entity of the Company (other than to the Company or a Subsidiary of the Company) to the extent that the net proceeds therefrom are contributed to the common equity capital of the Company.</w:t>
      </w:r>
    </w:p>
    <w:p>
      <w:pPr>
        <w:spacing w:after="0" w:line="130" w:lineRule="exact"/>
        <w:rPr>
          <w:sz w:val="20"/>
          <w:szCs w:val="20"/>
          <w:color w:val="auto"/>
        </w:rPr>
      </w:pPr>
    </w:p>
    <w:p>
      <w:pPr>
        <w:ind w:left="652"/>
        <w:spacing w:after="0"/>
        <w:tabs>
          <w:tab w:leader="none" w:pos="912"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has the meaning specified in Section 6.01.</w:t>
      </w:r>
    </w:p>
    <w:p>
      <w:pPr>
        <w:spacing w:after="0" w:line="21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39" w:lineRule="exact"/>
        <w:rPr>
          <w:sz w:val="20"/>
          <w:szCs w:val="20"/>
          <w:color w:val="auto"/>
        </w:rPr>
      </w:pPr>
    </w:p>
    <w:p>
      <w:pPr>
        <w:ind w:left="-8" w:firstLine="656"/>
        <w:spacing w:after="0" w:line="250" w:lineRule="auto"/>
        <w:tabs>
          <w:tab w:leader="none" w:pos="919"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Fair Market Value</w:t>
      </w:r>
      <w:r>
        <w:rPr>
          <w:rFonts w:ascii="Arial" w:cs="Arial" w:eastAsia="Arial" w:hAnsi="Arial"/>
          <w:sz w:val="20"/>
          <w:szCs w:val="20"/>
          <w:color w:val="auto"/>
        </w:rPr>
        <w:t>” means the value that would be paid by a willing buyer to an unaffiliated willing seller in a transaction not involving distress or necessity of either party, determined in good faith by the Board of Directors of the Company (unless otherwise provided in the Indenture).</w:t>
      </w:r>
    </w:p>
    <w:p>
      <w:pPr>
        <w:spacing w:after="0" w:line="186" w:lineRule="exact"/>
        <w:rPr>
          <w:sz w:val="20"/>
          <w:szCs w:val="20"/>
          <w:color w:val="auto"/>
        </w:rPr>
      </w:pPr>
    </w:p>
    <w:p>
      <w:pPr>
        <w:ind w:left="1032" w:hanging="384"/>
        <w:spacing w:after="0"/>
        <w:tabs>
          <w:tab w:leader="none" w:pos="1032"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Fall Away Date</w:t>
      </w:r>
      <w:r>
        <w:rPr>
          <w:rFonts w:ascii="Arial" w:cs="Arial" w:eastAsia="Arial" w:hAnsi="Arial"/>
          <w:sz w:val="20"/>
          <w:szCs w:val="20"/>
          <w:color w:val="auto"/>
        </w:rPr>
        <w:t>” has the meaning specified in Section 9.06.</w:t>
      </w:r>
    </w:p>
    <w:p>
      <w:pPr>
        <w:spacing w:after="0" w:line="215" w:lineRule="exact"/>
        <w:rPr>
          <w:rFonts w:ascii="Arial" w:cs="Arial" w:eastAsia="Arial" w:hAnsi="Arial"/>
          <w:sz w:val="20"/>
          <w:szCs w:val="20"/>
          <w:color w:val="auto"/>
        </w:rPr>
      </w:pPr>
    </w:p>
    <w:p>
      <w:pPr>
        <w:ind w:left="1012" w:hanging="364"/>
        <w:spacing w:after="0"/>
        <w:tabs>
          <w:tab w:leader="none" w:pos="1012"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FASB</w:t>
      </w:r>
      <w:r>
        <w:rPr>
          <w:rFonts w:ascii="Arial" w:cs="Arial" w:eastAsia="Arial" w:hAnsi="Arial"/>
          <w:sz w:val="20"/>
          <w:szCs w:val="20"/>
          <w:color w:val="auto"/>
        </w:rPr>
        <w:t>” means Financial Accounting Standards Board.</w:t>
      </w:r>
    </w:p>
    <w:p>
      <w:pPr>
        <w:spacing w:after="0" w:line="216" w:lineRule="exact"/>
        <w:rPr>
          <w:sz w:val="20"/>
          <w:szCs w:val="20"/>
          <w:color w:val="auto"/>
        </w:rPr>
      </w:pPr>
    </w:p>
    <w:p>
      <w:pPr>
        <w:ind w:left="65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Fixed Charges</w:t>
      </w:r>
      <w:r>
        <w:rPr>
          <w:rFonts w:ascii="Arial" w:cs="Arial" w:eastAsia="Arial" w:hAnsi="Arial"/>
          <w:sz w:val="20"/>
          <w:szCs w:val="20"/>
          <w:color w:val="auto"/>
        </w:rPr>
        <w:t>” means, with respect to any specified Person for any period, the sum, without duplication, of:</w:t>
      </w:r>
    </w:p>
    <w:p>
      <w:pPr>
        <w:spacing w:after="0" w:line="216" w:lineRule="exact"/>
        <w:rPr>
          <w:sz w:val="20"/>
          <w:szCs w:val="20"/>
          <w:color w:val="auto"/>
        </w:rPr>
      </w:pPr>
    </w:p>
    <w:p>
      <w:pPr>
        <w:ind w:left="-8" w:right="180" w:firstLine="1305"/>
        <w:spacing w:after="0" w:line="302" w:lineRule="auto"/>
        <w:tabs>
          <w:tab w:leader="none" w:pos="1699" w:val="left"/>
        </w:tabs>
        <w:numPr>
          <w:ilvl w:val="2"/>
          <w:numId w:val="23"/>
        </w:numPr>
        <w:rPr>
          <w:rFonts w:ascii="Arial" w:cs="Arial" w:eastAsia="Arial" w:hAnsi="Arial"/>
          <w:sz w:val="16"/>
          <w:szCs w:val="16"/>
          <w:color w:val="auto"/>
        </w:rPr>
      </w:pPr>
      <w:r>
        <w:rPr>
          <w:rFonts w:ascii="Arial" w:cs="Arial" w:eastAsia="Arial" w:hAnsi="Arial"/>
          <w:sz w:val="16"/>
          <w:szCs w:val="16"/>
          <w:color w:val="auto"/>
        </w:rPr>
        <w:t>(a) the consolidated interest expense of such Person and its Subsidiaries for such period, to the extent such expense was deducted in computing Consolidated Net Income, including, without limitation, (a) amortization of debt issuance costs and original issue discount, (b) non-cash interest payments, (but excluding any non-cash interest expense attributable to the movement in the mark to market valuation of Hedging Obligations or other derivative instruments pursuant to GAAP), (c) the interest component of any deferred payment obligations, (d) the interest component of all payments associated with Capital Lease Obligations, (e) commissions, discounts and other fees and charges incurred in respect of letter of credit or bankers’ acceptance financings, and excluding, (v) penalties and interest relating to taxes,</w:t>
      </w:r>
    </w:p>
    <w:p>
      <w:pPr>
        <w:spacing w:after="0" w:line="4" w:lineRule="exact"/>
        <w:rPr>
          <w:rFonts w:ascii="Arial" w:cs="Arial" w:eastAsia="Arial" w:hAnsi="Arial"/>
          <w:sz w:val="16"/>
          <w:szCs w:val="16"/>
          <w:color w:val="auto"/>
        </w:rPr>
      </w:pPr>
    </w:p>
    <w:p>
      <w:pPr>
        <w:ind w:left="332" w:hanging="332"/>
        <w:spacing w:after="0"/>
        <w:tabs>
          <w:tab w:leader="none" w:pos="3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expense resulting from the discounting of Indebtedness in connection with the application of recapitalization or purchase accounting,</w:t>
      </w:r>
    </w:p>
    <w:p>
      <w:pPr>
        <w:spacing w:after="0" w:line="22" w:lineRule="exact"/>
        <w:rPr>
          <w:rFonts w:ascii="Arial" w:cs="Arial" w:eastAsia="Arial" w:hAnsi="Arial"/>
          <w:sz w:val="18"/>
          <w:szCs w:val="18"/>
          <w:color w:val="auto"/>
        </w:rPr>
      </w:pPr>
    </w:p>
    <w:p>
      <w:pPr>
        <w:ind w:left="-8" w:right="340" w:firstLine="8"/>
        <w:spacing w:after="0" w:line="321" w:lineRule="auto"/>
        <w:tabs>
          <w:tab w:leader="none" w:pos="272"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amortization of deferred financing fees, debt issuance costs, commissions, fees and expenses, and original issue discount with respect to Indebtedness issued in connection with the Refinancing Transactions or any intercompany Indebtedness and (y) any expensing of bridge, commitment and other financing fees in connection with any acquisitions after the Issue Date, and net of the effect of all payments made or received pursuant to Hedging Obligations in respect of interest rates (but excluding any one-time cash costs associated with breakage); </w:t>
      </w:r>
      <w:r>
        <w:rPr>
          <w:rFonts w:ascii="Arial" w:cs="Arial" w:eastAsia="Arial" w:hAnsi="Arial"/>
          <w:sz w:val="16"/>
          <w:szCs w:val="16"/>
          <w:i w:val="1"/>
          <w:iCs w:val="1"/>
          <w:color w:val="auto"/>
        </w:rPr>
        <w:t>plus</w:t>
      </w:r>
    </w:p>
    <w:p>
      <w:pPr>
        <w:spacing w:after="0" w:line="134" w:lineRule="exact"/>
        <w:rPr>
          <w:rFonts w:ascii="Arial" w:cs="Arial" w:eastAsia="Arial" w:hAnsi="Arial"/>
          <w:sz w:val="16"/>
          <w:szCs w:val="16"/>
          <w:color w:val="auto"/>
        </w:rPr>
      </w:pPr>
    </w:p>
    <w:p>
      <w:pPr>
        <w:ind w:left="1472" w:hanging="392"/>
        <w:spacing w:after="0"/>
        <w:tabs>
          <w:tab w:leader="none" w:pos="1472" w:val="left"/>
        </w:tabs>
        <w:numPr>
          <w:ilvl w:val="1"/>
          <w:numId w:val="24"/>
        </w:numPr>
        <w:rPr>
          <w:rFonts w:ascii="Arial" w:cs="Arial" w:eastAsia="Arial" w:hAnsi="Arial"/>
          <w:sz w:val="19"/>
          <w:szCs w:val="19"/>
          <w:color w:val="auto"/>
        </w:rPr>
      </w:pPr>
      <w:r>
        <w:rPr>
          <w:rFonts w:ascii="Arial" w:cs="Arial" w:eastAsia="Arial" w:hAnsi="Arial"/>
          <w:sz w:val="19"/>
          <w:szCs w:val="19"/>
          <w:color w:val="auto"/>
        </w:rPr>
        <w:t xml:space="preserve">the consolidated interest expense of such Person and its Subsidiaries that was capitalized during such period; </w:t>
      </w:r>
      <w:r>
        <w:rPr>
          <w:rFonts w:ascii="Arial" w:cs="Arial" w:eastAsia="Arial" w:hAnsi="Arial"/>
          <w:sz w:val="19"/>
          <w:szCs w:val="19"/>
          <w:i w:val="1"/>
          <w:iCs w:val="1"/>
          <w:color w:val="auto"/>
        </w:rPr>
        <w:t>plus</w:t>
      </w:r>
    </w:p>
    <w:p>
      <w:pPr>
        <w:spacing w:after="0" w:line="227" w:lineRule="exact"/>
        <w:rPr>
          <w:rFonts w:ascii="Arial" w:cs="Arial" w:eastAsia="Arial" w:hAnsi="Arial"/>
          <w:sz w:val="19"/>
          <w:szCs w:val="19"/>
          <w:color w:val="auto"/>
        </w:rPr>
      </w:pPr>
    </w:p>
    <w:p>
      <w:pPr>
        <w:ind w:left="-8" w:right="240" w:firstLine="1088"/>
        <w:spacing w:after="0" w:line="287" w:lineRule="auto"/>
        <w:tabs>
          <w:tab w:leader="none" w:pos="1483" w:val="left"/>
        </w:tabs>
        <w:numPr>
          <w:ilvl w:val="1"/>
          <w:numId w:val="24"/>
        </w:numPr>
        <w:rPr>
          <w:rFonts w:ascii="Arial" w:cs="Arial" w:eastAsia="Arial" w:hAnsi="Arial"/>
          <w:sz w:val="19"/>
          <w:szCs w:val="19"/>
          <w:color w:val="auto"/>
        </w:rPr>
      </w:pPr>
      <w:r>
        <w:rPr>
          <w:rFonts w:ascii="Arial" w:cs="Arial" w:eastAsia="Arial" w:hAnsi="Arial"/>
          <w:sz w:val="19"/>
          <w:szCs w:val="19"/>
          <w:color w:val="auto"/>
        </w:rPr>
        <w:t xml:space="preserve">any interest on Indebtedness of another Person that is guaranteed by such Person or one of its Subsidiaries or secured by a Lien on assets of such Person or one of its Subsidiaries, whether or not such Guarantee or Lien is called upon; </w:t>
      </w:r>
      <w:r>
        <w:rPr>
          <w:rFonts w:ascii="Arial" w:cs="Arial" w:eastAsia="Arial" w:hAnsi="Arial"/>
          <w:sz w:val="19"/>
          <w:szCs w:val="19"/>
          <w:i w:val="1"/>
          <w:iCs w:val="1"/>
          <w:color w:val="auto"/>
        </w:rPr>
        <w:t>plus</w:t>
      </w:r>
    </w:p>
    <w:p>
      <w:pPr>
        <w:spacing w:after="0" w:line="152" w:lineRule="exact"/>
        <w:rPr>
          <w:rFonts w:ascii="Arial" w:cs="Arial" w:eastAsia="Arial" w:hAnsi="Arial"/>
          <w:sz w:val="19"/>
          <w:szCs w:val="19"/>
          <w:color w:val="auto"/>
        </w:rPr>
      </w:pPr>
    </w:p>
    <w:p>
      <w:pPr>
        <w:jc w:val="both"/>
        <w:ind w:left="-8" w:right="140" w:firstLine="1088"/>
        <w:spacing w:after="0" w:line="250" w:lineRule="auto"/>
        <w:tabs>
          <w:tab w:leader="none" w:pos="1472" w:val="left"/>
        </w:tabs>
        <w:numPr>
          <w:ilvl w:val="1"/>
          <w:numId w:val="24"/>
        </w:numPr>
        <w:rPr>
          <w:rFonts w:ascii="Arial" w:cs="Arial" w:eastAsia="Arial" w:hAnsi="Arial"/>
          <w:sz w:val="20"/>
          <w:szCs w:val="20"/>
          <w:color w:val="auto"/>
        </w:rPr>
      </w:pPr>
      <w:r>
        <w:rPr>
          <w:rFonts w:ascii="Arial" w:cs="Arial" w:eastAsia="Arial" w:hAnsi="Arial"/>
          <w:sz w:val="20"/>
          <w:szCs w:val="20"/>
          <w:color w:val="auto"/>
        </w:rPr>
        <w:t xml:space="preserve">all dividends, whether paid or accrued and whether or not in cash, on any series of preferred stock of such Person or any of its Subsidiaries, other than dividends on Equity Interests payable solely in Equity Interests of the Company or to the Company or a Subsidiary of the Company; </w:t>
      </w:r>
      <w:r>
        <w:rPr>
          <w:rFonts w:ascii="Arial" w:cs="Arial" w:eastAsia="Arial" w:hAnsi="Arial"/>
          <w:sz w:val="20"/>
          <w:szCs w:val="20"/>
          <w:i w:val="1"/>
          <w:iCs w:val="1"/>
          <w:color w:val="auto"/>
        </w:rPr>
        <w:t>minus</w:t>
      </w:r>
    </w:p>
    <w:p>
      <w:pPr>
        <w:spacing w:after="0" w:line="186" w:lineRule="exact"/>
        <w:rPr>
          <w:rFonts w:ascii="Arial" w:cs="Arial" w:eastAsia="Arial" w:hAnsi="Arial"/>
          <w:sz w:val="20"/>
          <w:szCs w:val="20"/>
          <w:color w:val="auto"/>
        </w:rPr>
      </w:pPr>
    </w:p>
    <w:p>
      <w:pPr>
        <w:ind w:left="1712" w:hanging="415"/>
        <w:spacing w:after="0"/>
        <w:tabs>
          <w:tab w:leader="none" w:pos="1712" w:val="left"/>
        </w:tabs>
        <w:numPr>
          <w:ilvl w:val="2"/>
          <w:numId w:val="24"/>
        </w:numPr>
        <w:rPr>
          <w:rFonts w:ascii="Arial" w:cs="Arial" w:eastAsia="Arial" w:hAnsi="Arial"/>
          <w:sz w:val="20"/>
          <w:szCs w:val="20"/>
          <w:color w:val="auto"/>
        </w:rPr>
      </w:pPr>
      <w:r>
        <w:rPr>
          <w:rFonts w:ascii="Arial" w:cs="Arial" w:eastAsia="Arial" w:hAnsi="Arial"/>
          <w:sz w:val="20"/>
          <w:szCs w:val="20"/>
          <w:color w:val="auto"/>
        </w:rPr>
        <w:t>(a)  interest income of such Person and its Subsidiaries for such period; and</w:t>
      </w:r>
    </w:p>
    <w:p>
      <w:pPr>
        <w:spacing w:after="0" w:line="200" w:lineRule="exact"/>
        <w:rPr>
          <w:sz w:val="20"/>
          <w:szCs w:val="20"/>
          <w:color w:val="auto"/>
        </w:rPr>
      </w:pPr>
    </w:p>
    <w:p>
      <w:pPr>
        <w:spacing w:after="0" w:line="259"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392"/>
          </w:cols>
          <w:pgMar w:left="248" w:top="366" w:right="259" w:bottom="1440" w:gutter="0" w:footer="0" w:header="0"/>
        </w:sectPr>
      </w:pPr>
    </w:p>
    <w:bookmarkStart w:id="21" w:name="page22"/>
    <w:bookmarkEnd w:id="21"/>
    <w:p>
      <w:pPr>
        <w:ind w:right="220" w:firstLine="1088"/>
        <w:spacing w:after="0" w:line="269" w:lineRule="auto"/>
        <w:tabs>
          <w:tab w:leader="none" w:pos="14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any amortization of deferred charges or debt discount resulting from the application of FASB Accounting Standards Codification Topic 470-20—Debt—Debt with Conversion and Other Options (formerly FASB Staff Position No. APB 14-1—Accounting for Convertible Debt Instruments That May Be Settled in Cash Upon Conversion (Including Partial Cash Settlement)).</w:t>
      </w:r>
    </w:p>
    <w:p>
      <w:pPr>
        <w:spacing w:after="0" w:line="17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Subsidiary</w:t>
      </w:r>
      <w:r>
        <w:rPr>
          <w:rFonts w:ascii="Arial" w:cs="Arial" w:eastAsia="Arial" w:hAnsi="Arial"/>
          <w:sz w:val="20"/>
          <w:szCs w:val="20"/>
          <w:color w:val="auto"/>
        </w:rPr>
        <w:t>” means, with respect to any Person, any Subsidiary of such Person that is not organized or existing under the laws of the United States, any state thereof or the District of Columbia, and any Subsidiary of such Foreign Subsidiary.</w:t>
      </w:r>
    </w:p>
    <w:p>
      <w:pPr>
        <w:spacing w:after="0" w:line="177"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Form of Assignment and Transfer</w:t>
      </w:r>
      <w:r>
        <w:rPr>
          <w:rFonts w:ascii="Arial" w:cs="Arial" w:eastAsia="Arial" w:hAnsi="Arial"/>
          <w:sz w:val="20"/>
          <w:szCs w:val="20"/>
          <w:color w:val="auto"/>
        </w:rPr>
        <w:t>” means the “Form of Assignment and Transfer” attached as Attachment 1 to the Form of Note attached hereto as Exhibit A.</w:t>
      </w:r>
    </w:p>
    <w:p>
      <w:pPr>
        <w:spacing w:after="0" w:line="177"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GAAP</w:t>
      </w:r>
      <w:r>
        <w:rPr>
          <w:rFonts w:ascii="Arial" w:cs="Arial" w:eastAsia="Arial" w:hAnsi="Arial"/>
          <w:sz w:val="19"/>
          <w:szCs w:val="19"/>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Issue Date; provided that lease liabilities and associated expenses recorded by the Company pursuant to ASU 2016-02, Leases, shall not be treated as Indebtedness and shall not be included in consolidated interest expense or Fixed Charges, unless the lease liabilities would have been treated as capital lease obligations under GAAP as in effect prior to the adoption of ASU 2016-02, Leases (in which case such lease liabilities and associated expenses shall be treated as Capital Lease Obligations and included in consolidated interest expense and Fixed Charges under the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Global Note</w:t>
      </w:r>
      <w:r>
        <w:rPr>
          <w:rFonts w:ascii="Arial" w:cs="Arial" w:eastAsia="Arial" w:hAnsi="Arial"/>
          <w:sz w:val="20"/>
          <w:szCs w:val="20"/>
          <w:color w:val="auto"/>
        </w:rPr>
        <w:t>” means any Note that is a Global Security.</w:t>
      </w:r>
    </w:p>
    <w:p>
      <w:pPr>
        <w:spacing w:after="0" w:line="216"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Guarantee</w:t>
      </w:r>
      <w:r>
        <w:rPr>
          <w:rFonts w:ascii="Arial" w:cs="Arial" w:eastAsia="Arial" w:hAnsi="Arial"/>
          <w:sz w:val="20"/>
          <w:szCs w:val="20"/>
          <w:color w:val="auto"/>
        </w:rPr>
        <w:t>” of or by any Person means any obligation, contingent or otherwise, of the guarantor guaranteeing or having the economic effect of guaranteeing any Indebtedness or other obligation of any other Person (the “</w:t>
      </w:r>
      <w:r>
        <w:rPr>
          <w:rFonts w:ascii="Arial" w:cs="Arial" w:eastAsia="Arial" w:hAnsi="Arial"/>
          <w:sz w:val="20"/>
          <w:szCs w:val="20"/>
          <w:b w:val="1"/>
          <w:bCs w:val="1"/>
          <w:i w:val="1"/>
          <w:iCs w:val="1"/>
          <w:color w:val="auto"/>
        </w:rPr>
        <w:t>primary obligor</w:t>
      </w:r>
      <w:r>
        <w:rPr>
          <w:rFonts w:ascii="Arial" w:cs="Arial" w:eastAsia="Arial" w:hAnsi="Arial"/>
          <w:sz w:val="20"/>
          <w:szCs w:val="20"/>
          <w:color w:val="auto"/>
        </w:rPr>
        <w:t>”) in any manner, whether directly or indirectly, and including any obligation of the guarantor, direct or indirect:</w:t>
      </w:r>
    </w:p>
    <w:p>
      <w:pPr>
        <w:spacing w:after="0" w:line="186" w:lineRule="exact"/>
        <w:rPr>
          <w:sz w:val="20"/>
          <w:szCs w:val="20"/>
          <w:color w:val="auto"/>
        </w:rPr>
      </w:pPr>
    </w:p>
    <w:p>
      <w:pPr>
        <w:ind w:firstLine="1305"/>
        <w:spacing w:after="0" w:line="260" w:lineRule="auto"/>
        <w:tabs>
          <w:tab w:leader="none" w:pos="1707" w:val="left"/>
        </w:tabs>
        <w:numPr>
          <w:ilvl w:val="0"/>
          <w:numId w:val="26"/>
        </w:numPr>
        <w:rPr>
          <w:rFonts w:ascii="Arial" w:cs="Arial" w:eastAsia="Arial" w:hAnsi="Arial"/>
          <w:sz w:val="20"/>
          <w:szCs w:val="20"/>
          <w:color w:val="auto"/>
        </w:rPr>
      </w:pPr>
      <w:r>
        <w:rPr>
          <w:rFonts w:ascii="Arial" w:cs="Arial" w:eastAsia="Arial" w:hAnsi="Arial"/>
          <w:sz w:val="20"/>
          <w:szCs w:val="20"/>
          <w:color w:val="auto"/>
        </w:rPr>
        <w:t>to purchase or pay (or advance or supply funds for the purchase or payment of) such Indebtedness or other obligation or to purchase (or to advance or supply funds for the purchase of) any security for the payment thereof;</w:t>
      </w:r>
    </w:p>
    <w:p>
      <w:pPr>
        <w:spacing w:after="0" w:line="176" w:lineRule="exact"/>
        <w:rPr>
          <w:rFonts w:ascii="Arial" w:cs="Arial" w:eastAsia="Arial" w:hAnsi="Arial"/>
          <w:sz w:val="20"/>
          <w:szCs w:val="20"/>
          <w:color w:val="auto"/>
        </w:rPr>
      </w:pPr>
    </w:p>
    <w:p>
      <w:pPr>
        <w:ind w:right="300" w:firstLine="1305"/>
        <w:spacing w:after="0" w:line="260" w:lineRule="auto"/>
        <w:tabs>
          <w:tab w:leader="none" w:pos="1707" w:val="left"/>
        </w:tabs>
        <w:numPr>
          <w:ilvl w:val="0"/>
          <w:numId w:val="26"/>
        </w:numPr>
        <w:rPr>
          <w:rFonts w:ascii="Arial" w:cs="Arial" w:eastAsia="Arial" w:hAnsi="Arial"/>
          <w:sz w:val="20"/>
          <w:szCs w:val="20"/>
          <w:color w:val="auto"/>
        </w:rPr>
      </w:pPr>
      <w:r>
        <w:rPr>
          <w:rFonts w:ascii="Arial" w:cs="Arial" w:eastAsia="Arial" w:hAnsi="Arial"/>
          <w:sz w:val="20"/>
          <w:szCs w:val="20"/>
          <w:color w:val="auto"/>
        </w:rPr>
        <w:t>to purchase or lease property, securities or services for the purpose of assuring the owner of such Indebtedness or other obligation of the payment thereof;</w:t>
      </w:r>
    </w:p>
    <w:p>
      <w:pPr>
        <w:spacing w:after="0" w:line="176" w:lineRule="exact"/>
        <w:rPr>
          <w:rFonts w:ascii="Arial" w:cs="Arial" w:eastAsia="Arial" w:hAnsi="Arial"/>
          <w:sz w:val="20"/>
          <w:szCs w:val="20"/>
          <w:color w:val="auto"/>
        </w:rPr>
      </w:pPr>
    </w:p>
    <w:p>
      <w:pPr>
        <w:ind w:right="40" w:firstLine="1305"/>
        <w:spacing w:after="0" w:line="260" w:lineRule="auto"/>
        <w:tabs>
          <w:tab w:leader="none" w:pos="1707" w:val="left"/>
        </w:tabs>
        <w:numPr>
          <w:ilvl w:val="0"/>
          <w:numId w:val="26"/>
        </w:numPr>
        <w:rPr>
          <w:rFonts w:ascii="Arial" w:cs="Arial" w:eastAsia="Arial" w:hAnsi="Arial"/>
          <w:sz w:val="20"/>
          <w:szCs w:val="20"/>
          <w:color w:val="auto"/>
        </w:rPr>
      </w:pPr>
      <w:r>
        <w:rPr>
          <w:rFonts w:ascii="Arial" w:cs="Arial" w:eastAsia="Arial" w:hAnsi="Arial"/>
          <w:sz w:val="20"/>
          <w:szCs w:val="20"/>
          <w:color w:val="auto"/>
        </w:rPr>
        <w:t>to maintain working capital, equity capital or any other financial statement condition or liquidity of the primary obligor so as to enable the primary obligor to pay such Indebtedness or other obligation; or</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an account party in respect of any letter of credit or letter of guaranty issued to support such Indebtedness or obligation;</w:t>
      </w:r>
    </w:p>
    <w:p>
      <w:pPr>
        <w:spacing w:after="0" w:line="262" w:lineRule="exact"/>
        <w:rPr>
          <w:sz w:val="20"/>
          <w:szCs w:val="20"/>
          <w:color w:val="auto"/>
        </w:rPr>
      </w:pPr>
    </w:p>
    <w:p>
      <w:pPr>
        <w:ind w:right="600"/>
        <w:spacing w:after="0" w:line="250" w:lineRule="auto"/>
        <w:rPr>
          <w:sz w:val="20"/>
          <w:szCs w:val="20"/>
          <w:color w:val="auto"/>
        </w:rPr>
      </w:pP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term “Guarantee” will not include endorsements for collection or deposit in the ordinary course of business. In any</w:t>
      </w:r>
      <w:r>
        <w:rPr>
          <w:rFonts w:ascii="Arial" w:cs="Arial" w:eastAsia="Arial" w:hAnsi="Arial"/>
          <w:sz w:val="20"/>
          <w:szCs w:val="20"/>
          <w:i w:val="1"/>
          <w:iCs w:val="1"/>
          <w:color w:val="auto"/>
        </w:rPr>
        <w:t xml:space="preserve"> </w:t>
      </w:r>
      <w:r>
        <w:rPr>
          <w:rFonts w:ascii="Arial" w:cs="Arial" w:eastAsia="Arial" w:hAnsi="Arial"/>
          <w:sz w:val="20"/>
          <w:szCs w:val="20"/>
          <w:color w:val="auto"/>
        </w:rPr>
        <w:t>computation of the Indebtedness or other liabilities of the obligor under any Guarantee, the Indebtedness or other obligations that are the subject of such Guarantee will be assumed to be direct obligations of such obligor.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366" w:right="239" w:bottom="1440" w:gutter="0" w:footer="0" w:header="0"/>
        </w:sectPr>
      </w:pPr>
    </w:p>
    <w:bookmarkStart w:id="22" w:name="page23"/>
    <w:bookmarkEnd w:id="22"/>
    <w:p>
      <w:pPr>
        <w:ind w:right="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Guarantors</w:t>
      </w:r>
      <w:r>
        <w:rPr>
          <w:rFonts w:ascii="Arial" w:cs="Arial" w:eastAsia="Arial" w:hAnsi="Arial"/>
          <w:sz w:val="20"/>
          <w:szCs w:val="20"/>
          <w:color w:val="auto"/>
        </w:rPr>
        <w:t>” means any Subsidiary of the Company that issues a Note Guarantee by executing this Supplemental Indenture in accordance with the provisions of the Indenture or executes a supplemental indenture in the form attached hereto as Exhibit B, and their respective successors and assigns, in each case, until the Note Guarantee of such Person has been released in accordance with the provisions of the Indenture.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Hedging Obligations</w:t>
      </w:r>
      <w:r>
        <w:rPr>
          <w:rFonts w:ascii="Arial" w:cs="Arial" w:eastAsia="Arial" w:hAnsi="Arial"/>
          <w:sz w:val="20"/>
          <w:szCs w:val="20"/>
          <w:color w:val="auto"/>
        </w:rPr>
        <w:t>” means, with respect to any specified Person, the obligations of such Person under:</w:t>
      </w:r>
    </w:p>
    <w:p>
      <w:pPr>
        <w:spacing w:after="0" w:line="216" w:lineRule="exact"/>
        <w:rPr>
          <w:sz w:val="20"/>
          <w:szCs w:val="20"/>
          <w:color w:val="auto"/>
        </w:rPr>
      </w:pPr>
    </w:p>
    <w:p>
      <w:pPr>
        <w:ind w:right="160" w:firstLine="1305"/>
        <w:spacing w:after="0" w:line="260" w:lineRule="auto"/>
        <w:tabs>
          <w:tab w:leader="none" w:pos="1707"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interest rate swap agreements (whether from fixed to floating or from floating to fixed), interest rate cap agreements and interest rate collar agreements;</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other agreements or arrangements designed to manage interest rates or interest rate risk; and</w:t>
      </w:r>
    </w:p>
    <w:p>
      <w:pPr>
        <w:spacing w:after="0" w:line="215" w:lineRule="exact"/>
        <w:rPr>
          <w:rFonts w:ascii="Arial" w:cs="Arial" w:eastAsia="Arial" w:hAnsi="Arial"/>
          <w:sz w:val="20"/>
          <w:szCs w:val="20"/>
          <w:color w:val="auto"/>
        </w:rPr>
      </w:pPr>
    </w:p>
    <w:p>
      <w:pPr>
        <w:ind w:right="80" w:firstLine="1305"/>
        <w:spacing w:after="0" w:line="246" w:lineRule="auto"/>
        <w:tabs>
          <w:tab w:leader="none" w:pos="1707"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commodity swap agreement, commodity cap agreement, commodity collar agreement, foreign exchange contract, currency swap agreement or any other agreements or arrangements designed to protect such Person against fluctuations in, or providing for the transfer or mitigation of risks related to, currency exchange rates or commodity prices, in each case, either generally or under specific contingencies.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Holder</w:t>
      </w:r>
      <w:r>
        <w:rPr>
          <w:rFonts w:ascii="Arial" w:cs="Arial" w:eastAsia="Arial" w:hAnsi="Arial"/>
          <w:sz w:val="20"/>
          <w:szCs w:val="20"/>
          <w:color w:val="auto"/>
        </w:rPr>
        <w:t>” means a person in whose name a Note is registered.</w:t>
      </w:r>
    </w:p>
    <w:p>
      <w:pPr>
        <w:spacing w:after="0" w:line="216"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Immaterial Subsidiary</w:t>
      </w:r>
      <w:r>
        <w:rPr>
          <w:rFonts w:ascii="Arial" w:cs="Arial" w:eastAsia="Arial" w:hAnsi="Arial"/>
          <w:sz w:val="19"/>
          <w:szCs w:val="19"/>
          <w:color w:val="auto"/>
        </w:rPr>
        <w:t xml:space="preserve">” means, as of any date, any Subsidiary that is a Wholly-Owned Subsidiary whose total assets do not exceed 7.5% of the consolidated assets of the Company and its Subsidiaries or whose revenues do not exceed 10.0% of the consolidated revenues of the Company and its Subsidiaries, determined as of the end of the fiscal quarter most recently ended for which financial statements are available;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(1) a Subsidiary will not be considered to be an Immaterial Subsidiary if it, directly or indirectly, guarantees or otherwise provides direct credit support for any other Indebtedness of the Company and (2) the aggregate amount of total assets of all Immaterial Subsidiaries shall not at any time exceed 7.5% of the consolidated assets of the Company and its Subsidiaries or whose revenues do not exceed 10.0% of the consolidated revenues of the Company and its Subsidiaries, determined as of the end of the fiscal quarter most recently ended for which financial statements are available.</w:t>
      </w:r>
    </w:p>
    <w:p>
      <w:pPr>
        <w:spacing w:after="0" w:line="181" w:lineRule="exact"/>
        <w:rPr>
          <w:sz w:val="20"/>
          <w:szCs w:val="20"/>
          <w:color w:val="auto"/>
        </w:rPr>
      </w:pPr>
    </w:p>
    <w:p>
      <w:pPr>
        <w:ind w:right="2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Indebtedness</w:t>
      </w:r>
      <w:r>
        <w:rPr>
          <w:rFonts w:ascii="Arial" w:cs="Arial" w:eastAsia="Arial" w:hAnsi="Arial"/>
          <w:sz w:val="20"/>
          <w:szCs w:val="20"/>
          <w:color w:val="auto"/>
        </w:rPr>
        <w:t>” means, with respect to any specified Person, any indebtedness of such Person (excluding accrued interest (other than accrued interest or interest paid in kind that has accreted to the principal amount), accrued expenses and trade payables), whether or not contingent, in respect of borrowed money and evidenced by bonds, notes, debentures or similar instruments or letters of credit (or, without duplication, reimbursement agreements in respect thereof).</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amount of any Indebtedness outstanding as of any date will be:</w:t>
      </w:r>
    </w:p>
    <w:p>
      <w:pPr>
        <w:spacing w:after="0" w:line="216" w:lineRule="exact"/>
        <w:rPr>
          <w:sz w:val="20"/>
          <w:szCs w:val="20"/>
          <w:color w:val="auto"/>
        </w:rPr>
      </w:pPr>
    </w:p>
    <w:p>
      <w:pPr>
        <w:ind w:left="1720" w:hanging="415"/>
        <w:spacing w:after="0"/>
        <w:tabs>
          <w:tab w:leader="none" w:pos="1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accreted value of the Indebtedness, in the case of any Indebtedness issued with original issue discount;</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principal amount of the Indebtedness, in the case of any other Indebtedness; and</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00"/>
          </w:cols>
          <w:pgMar w:left="240" w:top="366" w:right="259" w:bottom="1440" w:gutter="0" w:footer="0" w:header="0"/>
        </w:sectPr>
      </w:pPr>
    </w:p>
    <w:bookmarkStart w:id="23" w:name="page24"/>
    <w:bookmarkEnd w:id="23"/>
    <w:p>
      <w:pPr>
        <w:ind w:left="1720" w:hanging="415"/>
        <w:spacing w:after="0"/>
        <w:tabs>
          <w:tab w:leader="none" w:pos="1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238" w:lineRule="exact"/>
        <w:rPr>
          <w:rFonts w:ascii="Arial" w:cs="Arial" w:eastAsia="Arial" w:hAnsi="Arial"/>
          <w:sz w:val="18"/>
          <w:szCs w:val="18"/>
          <w:color w:val="auto"/>
        </w:rPr>
      </w:pPr>
    </w:p>
    <w:p>
      <w:pPr>
        <w:ind w:left="2360" w:hanging="407"/>
        <w:spacing w:after="0"/>
        <w:tabs>
          <w:tab w:leader="none" w:pos="236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Fair Market Value of such assets at the date of determination; and</w:t>
      </w:r>
    </w:p>
    <w:p>
      <w:pPr>
        <w:spacing w:after="0" w:line="215" w:lineRule="exact"/>
        <w:rPr>
          <w:rFonts w:ascii="Arial" w:cs="Arial" w:eastAsia="Arial" w:hAnsi="Arial"/>
          <w:sz w:val="20"/>
          <w:szCs w:val="20"/>
          <w:color w:val="auto"/>
        </w:rPr>
      </w:pPr>
    </w:p>
    <w:p>
      <w:pPr>
        <w:ind w:left="2360" w:hanging="407"/>
        <w:spacing w:after="0"/>
        <w:tabs>
          <w:tab w:leader="none" w:pos="236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amount of the Indebtedness of the other Person.</w:t>
      </w:r>
    </w:p>
    <w:p>
      <w:pPr>
        <w:spacing w:after="0" w:line="216" w:lineRule="exact"/>
        <w:rPr>
          <w:sz w:val="20"/>
          <w:szCs w:val="20"/>
          <w:color w:val="auto"/>
        </w:rPr>
      </w:pPr>
    </w:p>
    <w:p>
      <w:pPr>
        <w:ind w:right="16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Indenture</w:t>
      </w:r>
      <w:r>
        <w:rPr>
          <w:rFonts w:ascii="Arial" w:cs="Arial" w:eastAsia="Arial" w:hAnsi="Arial"/>
          <w:sz w:val="19"/>
          <w:szCs w:val="19"/>
          <w:color w:val="auto"/>
        </w:rPr>
        <w:t>” means the Original Indenture, as originally executed, and as supplemented by this Supplemental Indenture, entered into pursuant to the applicable provisions of the Indenture, which, together, provide for the issuance of and establish the form and terms of the Notes, and as may be further supplemented from time to time by one or more supplements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Initial Notes</w:t>
      </w:r>
      <w:r>
        <w:rPr>
          <w:rFonts w:ascii="Arial" w:cs="Arial" w:eastAsia="Arial" w:hAnsi="Arial"/>
          <w:sz w:val="20"/>
          <w:szCs w:val="20"/>
          <w:color w:val="auto"/>
        </w:rPr>
        <w:t>” has the meaning specified in Section 2.01.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means, with respect to the payment of interest on the Notes, each May 1 and November 1 of each year.</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Investment Grade</w:t>
      </w:r>
      <w:r>
        <w:rPr>
          <w:rFonts w:ascii="Arial" w:cs="Arial" w:eastAsia="Arial" w:hAnsi="Arial"/>
          <w:sz w:val="20"/>
          <w:szCs w:val="20"/>
          <w:color w:val="auto"/>
        </w:rPr>
        <w:t>” means a rating equal to or higher than Baa3 (or the equivalent) by Moody’s or BBB- (or the equivalent) by S&amp;P, or, if either such entity ceases to rate the Notes for reasons outside of the control of the Company, the equivalent investment grade credit rating from any other “nationally recognized statistical rating organization” within the meaning of Rule 3(a)(62) under the Exchange Act selected by the Company as a replacement agency.</w:t>
      </w:r>
    </w:p>
    <w:p>
      <w:pPr>
        <w:spacing w:after="0" w:line="19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Investments</w:t>
      </w:r>
      <w:r>
        <w:rPr>
          <w:rFonts w:ascii="Arial" w:cs="Arial" w:eastAsia="Arial" w:hAnsi="Arial"/>
          <w:sz w:val="19"/>
          <w:szCs w:val="19"/>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of Indebtedness, Equity Interests or other securities, together with all items that are or would be classified as investments on a balance sheet prepared in accordance with GAAP. Except as otherwise provided in the Indenture, the amount of an Investment will be determined at the time the Investment is made and without giving effect to subsequent changes in value.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Issue Date</w:t>
      </w:r>
      <w:r>
        <w:rPr>
          <w:rFonts w:ascii="Arial" w:cs="Arial" w:eastAsia="Arial" w:hAnsi="Arial"/>
          <w:sz w:val="20"/>
          <w:szCs w:val="20"/>
          <w:color w:val="auto"/>
        </w:rPr>
        <w:t>” means, October 23, 2019, the original issue date of the Notes.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Legal Defeasance</w:t>
      </w:r>
      <w:r>
        <w:rPr>
          <w:rFonts w:ascii="Arial" w:cs="Arial" w:eastAsia="Arial" w:hAnsi="Arial"/>
          <w:sz w:val="20"/>
          <w:szCs w:val="20"/>
          <w:color w:val="auto"/>
        </w:rPr>
        <w:t>” has the meaning specified in Section 7.02.</w:t>
      </w:r>
    </w:p>
    <w:p>
      <w:pPr>
        <w:spacing w:after="0" w:line="216"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Lien</w:t>
      </w:r>
      <w:r>
        <w:rPr>
          <w:rFonts w:ascii="Arial" w:cs="Arial" w:eastAsia="Arial" w:hAnsi="Arial"/>
          <w:sz w:val="20"/>
          <w:szCs w:val="20"/>
          <w:color w:val="auto"/>
        </w:rPr>
        <w:t xml:space="preserve">”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20"/>
          <w:szCs w:val="20"/>
          <w:i w:val="1"/>
          <w:iCs w:val="1"/>
          <w:color w:val="auto"/>
        </w:rPr>
        <w:t>provided</w:t>
      </w:r>
      <w:r>
        <w:rPr>
          <w:rFonts w:ascii="Arial" w:cs="Arial" w:eastAsia="Arial" w:hAnsi="Arial"/>
          <w:sz w:val="20"/>
          <w:szCs w:val="20"/>
          <w:color w:val="auto"/>
        </w:rPr>
        <w:t>, that in no event shall an operating lease be deemed to constitute a Lien.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Moody’s</w:t>
      </w:r>
      <w:r>
        <w:rPr>
          <w:rFonts w:ascii="Arial" w:cs="Arial" w:eastAsia="Arial" w:hAnsi="Arial"/>
          <w:sz w:val="20"/>
          <w:szCs w:val="20"/>
          <w:color w:val="auto"/>
        </w:rPr>
        <w:t>” means Moody’s Investors Service, Inc., and any successor to its rating agency business.</w:t>
      </w:r>
    </w:p>
    <w:p>
      <w:pPr>
        <w:spacing w:after="0" w:line="216" w:lineRule="exact"/>
        <w:rPr>
          <w:sz w:val="20"/>
          <w:szCs w:val="20"/>
          <w:color w:val="auto"/>
        </w:rPr>
      </w:pPr>
    </w:p>
    <w:p>
      <w:pPr>
        <w:ind w:right="6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Proceeds</w:t>
      </w:r>
      <w:r>
        <w:rPr>
          <w:rFonts w:ascii="Arial" w:cs="Arial" w:eastAsia="Arial" w:hAnsi="Arial"/>
          <w:sz w:val="18"/>
          <w:szCs w:val="18"/>
          <w:color w:val="auto"/>
        </w:rPr>
        <w:t>” from a Sale and Lease Back Transaction means cash payments received therefrom (including any cash payments received by way of deferred payment of principal pursuant to a note or installment receivable or otherwise and proceeds from the sale or other disposition of any securities received as consideration, all purchase price adjustments, earn-outs and contingency payment</w:t>
      </w: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320"/>
          </w:cols>
          <w:pgMar w:left="240" w:top="366" w:right="339" w:bottom="1440" w:gutter="0" w:footer="0" w:header="0"/>
        </w:sectPr>
      </w:pPr>
    </w:p>
    <w:bookmarkStart w:id="24" w:name="page25"/>
    <w:bookmarkEnd w:id="24"/>
    <w:p>
      <w:pPr>
        <w:spacing w:after="0" w:line="305" w:lineRule="auto"/>
        <w:rPr>
          <w:sz w:val="20"/>
          <w:szCs w:val="20"/>
          <w:color w:val="auto"/>
        </w:rPr>
      </w:pPr>
      <w:r>
        <w:rPr>
          <w:rFonts w:ascii="Arial" w:cs="Arial" w:eastAsia="Arial" w:hAnsi="Arial"/>
          <w:sz w:val="16"/>
          <w:szCs w:val="16"/>
          <w:color w:val="auto"/>
        </w:rPr>
        <w:t>obligations to which a seller may become entitled after the closing of such Sale and Lease Back Transaction and all holdbacks, in each case, only as and when received in cash, but excluding any other consideration received in the form of assumption by the acquiring Person of Indebtedness or other obligations relating to such properties or assets or received in any other non-cash form), in each case net of (without duplication): (1) all legal, accounting, title and transfer or recording tax expenses, broker’s fees or commissions and other fees and expenses (including, without duplication, any repatriation costs associated with receipt by the applicable taxpayer of such proceeds) incurred, and all federal, state, provincial, foreign and local taxes (whether on account of income, gains or otherwise) required to be accrued as a liability under GAAP, as a consequence of such Sale and Lease Back Transaction; (2) all payments made on any Indebtedness which is secured by any assets subject to such Sale and Lease Back Transaction, in accordance with the terms of any Lien upon or other security agreement of any kind with respect to such assets, or which must by its terms, or in order to obtain a necessary consent to such Sale and Lease Back Transaction, or by applicable law, be repaid out of the proceeds from such Sale and Lease Back Transaction; (3) the deduction of appropriate amounts provided by the seller as a reserve, in accordance with GAAP, against any liabilities associated with the property or other assets disposed in such Sale and Lease Back Transaction and retained by the Company or any Subsidiary after such Sale and Lease Back Transaction; (4) any portion of the purchase price from a Sale and Lease Back Transaction placed in escrow in connection with that Sale and Lease Back Transaction; provided, that upon the termination of that escrow, Net Proceeds will be increased by any portion of funds in the escrow that are released to the Company or any Subsidiary; and (5) the amount of any purchase price adjustment, contingent or deferred payment obligation that the Company and/or any Subsidiary is obligated to pay to another Person in connection with a Sale and Lease Back Transaction.</w:t>
      </w:r>
    </w:p>
    <w:p>
      <w:pPr>
        <w:spacing w:after="0" w:line="382"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Note</w:t>
      </w:r>
      <w:r>
        <w:rPr>
          <w:rFonts w:ascii="Arial" w:cs="Arial" w:eastAsia="Arial" w:hAnsi="Arial"/>
          <w:sz w:val="20"/>
          <w:szCs w:val="20"/>
          <w:color w:val="auto"/>
        </w:rPr>
        <w:t>” or “</w:t>
      </w:r>
      <w:r>
        <w:rPr>
          <w:rFonts w:ascii="Arial" w:cs="Arial" w:eastAsia="Arial" w:hAnsi="Arial"/>
          <w:sz w:val="20"/>
          <w:szCs w:val="20"/>
          <w:b w:val="1"/>
          <w:bCs w:val="1"/>
          <w:i w:val="1"/>
          <w:iCs w:val="1"/>
          <w:color w:val="auto"/>
        </w:rPr>
        <w:t>Notes</w:t>
      </w:r>
      <w:r>
        <w:rPr>
          <w:rFonts w:ascii="Arial" w:cs="Arial" w:eastAsia="Arial" w:hAnsi="Arial"/>
          <w:sz w:val="20"/>
          <w:szCs w:val="20"/>
          <w:color w:val="auto"/>
        </w:rPr>
        <w:t>” has the meaning specified in the fourth paragraph of the recitals of this Supplemental Indenture, and shall include any Additional Notes issued pursuant to Section 2.01.</w:t>
      </w:r>
    </w:p>
    <w:p>
      <w:pPr>
        <w:spacing w:after="0" w:line="177"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 Guarantee</w:t>
      </w:r>
      <w:r>
        <w:rPr>
          <w:rFonts w:ascii="Arial" w:cs="Arial" w:eastAsia="Arial" w:hAnsi="Arial"/>
          <w:sz w:val="18"/>
          <w:szCs w:val="18"/>
          <w:color w:val="auto"/>
        </w:rPr>
        <w:t>” means the Guarantee by each Guarantor of the Company’s obligations under the Indenture and the Notes, evidenced by the execution of this Supplemental Indenture or a supplemental indenture in the form of Exhibit B hereto by such Guarantor.</w:t>
      </w:r>
    </w:p>
    <w:p>
      <w:pPr>
        <w:spacing w:after="0" w:line="130" w:lineRule="exact"/>
        <w:rPr>
          <w:sz w:val="20"/>
          <w:szCs w:val="20"/>
          <w:color w:val="auto"/>
        </w:rPr>
      </w:pPr>
    </w:p>
    <w:p>
      <w:pPr>
        <w:ind w:right="2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Obligations</w:t>
      </w:r>
      <w:r>
        <w:rPr>
          <w:rFonts w:ascii="Arial" w:cs="Arial" w:eastAsia="Arial" w:hAnsi="Arial"/>
          <w:sz w:val="20"/>
          <w:szCs w:val="20"/>
          <w:color w:val="auto"/>
        </w:rPr>
        <w:t>” means any principal, interest, penalties, fees, indemnifications, reimbursements, damages and other liabilities payable under the documentation governing any Indebtedness, including interest accruing subsequent to the filing of a petition in a bankruptcy, reorganization or similar proceeding at the rate provided for in the documentation with respect thereto, whether or not such interest is an allowed claim under applicable state, federal or foreign law.</w:t>
      </w:r>
    </w:p>
    <w:p>
      <w:pPr>
        <w:spacing w:after="0" w:line="19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Offering Memorandum</w:t>
      </w:r>
      <w:r>
        <w:rPr>
          <w:rFonts w:ascii="Arial" w:cs="Arial" w:eastAsia="Arial" w:hAnsi="Arial"/>
          <w:sz w:val="20"/>
          <w:szCs w:val="20"/>
          <w:color w:val="auto"/>
        </w:rPr>
        <w:t>” means the offering memorandum dated October 21, 2019, pursuant to which the Initial Notes were offered to potential purchasers.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Original Indenture</w:t>
      </w:r>
      <w:r>
        <w:rPr>
          <w:rFonts w:ascii="Arial" w:cs="Arial" w:eastAsia="Arial" w:hAnsi="Arial"/>
          <w:sz w:val="20"/>
          <w:szCs w:val="20"/>
          <w:color w:val="auto"/>
        </w:rPr>
        <w:t>” has the meaning specified in the first paragraph of this Supplemental Indenture.</w:t>
      </w:r>
    </w:p>
    <w:p>
      <w:pPr>
        <w:spacing w:after="0" w:line="216"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Outstanding</w:t>
      </w:r>
      <w:r>
        <w:rPr>
          <w:rFonts w:ascii="Arial" w:cs="Arial" w:eastAsia="Arial" w:hAnsi="Arial"/>
          <w:sz w:val="20"/>
          <w:szCs w:val="20"/>
          <w:color w:val="auto"/>
        </w:rPr>
        <w:t>” with respect to the Notes, has the meaning specified in Section 2.9 of the Original Indenture with respect to Securities “outstanding,” as modified by Section 2.02.</w:t>
      </w:r>
    </w:p>
    <w:p>
      <w:pPr>
        <w:spacing w:after="0" w:line="171" w:lineRule="exact"/>
        <w:rPr>
          <w:sz w:val="20"/>
          <w:szCs w:val="20"/>
          <w:color w:val="auto"/>
        </w:rPr>
      </w:pPr>
    </w:p>
    <w:p>
      <w:pPr>
        <w:ind w:right="640" w:firstLine="648"/>
        <w:spacing w:after="0" w:line="393"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Paying Agent</w:t>
      </w:r>
      <w:r>
        <w:rPr>
          <w:rFonts w:ascii="Arial" w:cs="Arial" w:eastAsia="Arial" w:hAnsi="Arial"/>
          <w:sz w:val="16"/>
          <w:szCs w:val="16"/>
          <w:b w:val="1"/>
          <w:bCs w:val="1"/>
          <w:color w:val="auto"/>
        </w:rPr>
        <w:t xml:space="preserve">” </w:t>
      </w:r>
      <w:r>
        <w:rPr>
          <w:rFonts w:ascii="Arial" w:cs="Arial" w:eastAsia="Arial" w:hAnsi="Arial"/>
          <w:sz w:val="16"/>
          <w:szCs w:val="16"/>
          <w:color w:val="auto"/>
        </w:rPr>
        <w:t>has the meaning set forth in the Original Indenture, which shall initially be the Trustee, and shall be the person</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by the Company to pay the principal amount of, and premium and interest, if any, on, any Notes on behalf of the Company.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Liens</w:t>
      </w:r>
      <w:r>
        <w:rPr>
          <w:rFonts w:ascii="Arial" w:cs="Arial" w:eastAsia="Arial" w:hAnsi="Arial"/>
          <w:sz w:val="20"/>
          <w:szCs w:val="20"/>
          <w:color w:val="auto"/>
        </w:rPr>
        <w:t>” means:</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00"/>
          </w:cols>
          <w:pgMar w:left="240" w:top="366" w:right="259" w:bottom="1440" w:gutter="0" w:footer="0" w:header="0"/>
        </w:sectPr>
      </w:pPr>
    </w:p>
    <w:bookmarkStart w:id="25" w:name="page26"/>
    <w:bookmarkEnd w:id="25"/>
    <w:p>
      <w:pPr>
        <w:ind w:right="560" w:firstLine="1305"/>
        <w:spacing w:after="0" w:line="260" w:lineRule="auto"/>
        <w:tabs>
          <w:tab w:leader="none" w:pos="1707" w:val="left"/>
        </w:tabs>
        <w:numPr>
          <w:ilvl w:val="1"/>
          <w:numId w:val="30"/>
        </w:numPr>
        <w:rPr>
          <w:rFonts w:ascii="Arial" w:cs="Arial" w:eastAsia="Arial" w:hAnsi="Arial"/>
          <w:sz w:val="20"/>
          <w:szCs w:val="20"/>
          <w:color w:val="auto"/>
        </w:rPr>
      </w:pPr>
      <w:r>
        <w:rPr>
          <w:rFonts w:ascii="Arial" w:cs="Arial" w:eastAsia="Arial" w:hAnsi="Arial"/>
          <w:sz w:val="20"/>
          <w:szCs w:val="20"/>
          <w:color w:val="auto"/>
        </w:rPr>
        <w:t>Liens on assets of the Company or any of its Subsidiaries securing Indebtedness and other Obligations under Credit Facilities incurred pursuant to this clause (1) not to exceed $3.3 billion;</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1"/>
          <w:numId w:val="30"/>
        </w:numPr>
        <w:rPr>
          <w:rFonts w:ascii="Arial" w:cs="Arial" w:eastAsia="Arial" w:hAnsi="Arial"/>
          <w:sz w:val="20"/>
          <w:szCs w:val="20"/>
          <w:color w:val="auto"/>
        </w:rPr>
      </w:pPr>
      <w:r>
        <w:rPr>
          <w:rFonts w:ascii="Arial" w:cs="Arial" w:eastAsia="Arial" w:hAnsi="Arial"/>
          <w:sz w:val="20"/>
          <w:szCs w:val="20"/>
          <w:color w:val="auto"/>
        </w:rPr>
        <w:t>Liens in favor of the Company or the Guarantors;</w:t>
      </w:r>
    </w:p>
    <w:p>
      <w:pPr>
        <w:spacing w:after="0" w:line="215" w:lineRule="exact"/>
        <w:rPr>
          <w:rFonts w:ascii="Arial" w:cs="Arial" w:eastAsia="Arial" w:hAnsi="Arial"/>
          <w:sz w:val="20"/>
          <w:szCs w:val="20"/>
          <w:color w:val="auto"/>
        </w:rPr>
      </w:pPr>
    </w:p>
    <w:p>
      <w:pPr>
        <w:ind w:right="80" w:firstLine="1305"/>
        <w:spacing w:after="0" w:line="278" w:lineRule="auto"/>
        <w:tabs>
          <w:tab w:leader="none" w:pos="1707"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Liens on property, shares of stock or other assets of a Person existing at the time such Person becomes a Subsidiary of the Company or is merged with or into or consolidated with the Company or any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created or incurred in contemplation of such Person becoming a Subsidiary of the Company or such merger or consolidation and do not extend to any assets other than those of the Person that becomes a Subsidiary of the Company or the property, shares of stock or other assets acquired in merger with or into or consolidation with the Company or any Subsidiary of the Company;</w:t>
      </w:r>
    </w:p>
    <w:p>
      <w:pPr>
        <w:spacing w:after="0" w:line="165" w:lineRule="exact"/>
        <w:rPr>
          <w:rFonts w:ascii="Arial" w:cs="Arial" w:eastAsia="Arial" w:hAnsi="Arial"/>
          <w:sz w:val="18"/>
          <w:szCs w:val="18"/>
          <w:color w:val="auto"/>
        </w:rPr>
      </w:pPr>
    </w:p>
    <w:p>
      <w:pPr>
        <w:ind w:right="60" w:firstLine="1305"/>
        <w:spacing w:after="0" w:line="250" w:lineRule="auto"/>
        <w:tabs>
          <w:tab w:leader="none" w:pos="1707" w:val="left"/>
        </w:tabs>
        <w:numPr>
          <w:ilvl w:val="1"/>
          <w:numId w:val="30"/>
        </w:numPr>
        <w:rPr>
          <w:rFonts w:ascii="Arial" w:cs="Arial" w:eastAsia="Arial" w:hAnsi="Arial"/>
          <w:sz w:val="20"/>
          <w:szCs w:val="20"/>
          <w:color w:val="auto"/>
        </w:rPr>
      </w:pPr>
      <w:r>
        <w:rPr>
          <w:rFonts w:ascii="Arial" w:cs="Arial" w:eastAsia="Arial" w:hAnsi="Arial"/>
          <w:sz w:val="20"/>
          <w:szCs w:val="20"/>
          <w:color w:val="auto"/>
        </w:rPr>
        <w:t xml:space="preserve">Liens on property (including Capital Stock) or other assets existing at the time of acquisition of such property or assets by the Company or any Subsidiary of the Company;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Liens were in existence prior to such acquisition and not incurred in contemplation of, such acquisition;</w:t>
      </w:r>
    </w:p>
    <w:p>
      <w:pPr>
        <w:spacing w:after="0" w:line="186" w:lineRule="exact"/>
        <w:rPr>
          <w:rFonts w:ascii="Arial" w:cs="Arial" w:eastAsia="Arial" w:hAnsi="Arial"/>
          <w:sz w:val="20"/>
          <w:szCs w:val="20"/>
          <w:color w:val="auto"/>
        </w:rPr>
      </w:pPr>
    </w:p>
    <w:p>
      <w:pPr>
        <w:ind w:firstLine="1305"/>
        <w:spacing w:after="0" w:line="291" w:lineRule="auto"/>
        <w:tabs>
          <w:tab w:leader="none" w:pos="1707"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insurance, surety or appeal bonds, workers compensation obligations, performance bonds or other obligations of a like nature incurred in the ordinary course of business (including Liens to secure letters of credit issued to assure payment of such obligations) and any Liens in favor of, or required by contracts with, governmental entities;</w:t>
      </w:r>
    </w:p>
    <w:p>
      <w:pPr>
        <w:spacing w:after="0" w:line="151" w:lineRule="exact"/>
        <w:rPr>
          <w:rFonts w:ascii="Arial" w:cs="Arial" w:eastAsia="Arial" w:hAnsi="Arial"/>
          <w:sz w:val="18"/>
          <w:szCs w:val="18"/>
          <w:color w:val="auto"/>
        </w:rPr>
      </w:pPr>
    </w:p>
    <w:p>
      <w:pPr>
        <w:ind w:left="1720" w:hanging="415"/>
        <w:spacing w:after="0"/>
        <w:tabs>
          <w:tab w:leader="none" w:pos="1720" w:val="left"/>
        </w:tabs>
        <w:numPr>
          <w:ilvl w:val="1"/>
          <w:numId w:val="30"/>
        </w:numPr>
        <w:rPr>
          <w:rFonts w:ascii="Arial" w:cs="Arial" w:eastAsia="Arial" w:hAnsi="Arial"/>
          <w:sz w:val="20"/>
          <w:szCs w:val="20"/>
          <w:color w:val="auto"/>
        </w:rPr>
      </w:pPr>
      <w:r>
        <w:rPr>
          <w:rFonts w:ascii="Arial" w:cs="Arial" w:eastAsia="Arial" w:hAnsi="Arial"/>
          <w:sz w:val="20"/>
          <w:szCs w:val="20"/>
          <w:color w:val="auto"/>
        </w:rPr>
        <w:t>Liens to secure Indebtedness represented by mortgage financings or purchase money obligations;</w:t>
      </w:r>
    </w:p>
    <w:p>
      <w:pPr>
        <w:spacing w:after="0" w:line="215" w:lineRule="exact"/>
        <w:rPr>
          <w:rFonts w:ascii="Arial" w:cs="Arial" w:eastAsia="Arial" w:hAnsi="Arial"/>
          <w:sz w:val="20"/>
          <w:szCs w:val="20"/>
          <w:color w:val="auto"/>
        </w:rPr>
      </w:pPr>
    </w:p>
    <w:p>
      <w:pPr>
        <w:ind w:right="400" w:firstLine="1305"/>
        <w:spacing w:after="0" w:line="260" w:lineRule="auto"/>
        <w:tabs>
          <w:tab w:leader="none" w:pos="1707" w:val="left"/>
        </w:tabs>
        <w:numPr>
          <w:ilvl w:val="1"/>
          <w:numId w:val="30"/>
        </w:numPr>
        <w:rPr>
          <w:rFonts w:ascii="Arial" w:cs="Arial" w:eastAsia="Arial" w:hAnsi="Arial"/>
          <w:sz w:val="20"/>
          <w:szCs w:val="20"/>
          <w:color w:val="auto"/>
        </w:rPr>
      </w:pPr>
      <w:r>
        <w:rPr>
          <w:rFonts w:ascii="Arial" w:cs="Arial" w:eastAsia="Arial" w:hAnsi="Arial"/>
          <w:sz w:val="20"/>
          <w:szCs w:val="20"/>
          <w:color w:val="auto"/>
        </w:rPr>
        <w:t>Liens existing on the Issue Date (with the exception of Liens securing the Credit Agreement on the Issue Date, which shall be deemed to be incurred pursuant to clause (1) of this definition);</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extensions, renewals, alterations, refinancings or replacements of any Lien referred to in the preceding clauses (3) through</w:t>
      </w:r>
    </w:p>
    <w:p>
      <w:pPr>
        <w:spacing w:after="0" w:line="61" w:lineRule="exact"/>
        <w:rPr>
          <w:rFonts w:ascii="Arial" w:cs="Arial" w:eastAsia="Arial" w:hAnsi="Arial"/>
          <w:sz w:val="16"/>
          <w:szCs w:val="16"/>
          <w:color w:val="auto"/>
        </w:rPr>
      </w:pPr>
    </w:p>
    <w:p>
      <w:pPr>
        <w:ind w:right="40" w:firstLine="8"/>
        <w:spacing w:after="0" w:line="256" w:lineRule="auto"/>
        <w:tabs>
          <w:tab w:leader="none" w:pos="2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 the principal amount of Indebtedness secured thereby shall not exceed the principal amount of Indebtedness so secured at the time of such extension, renewal, alteration or replacement plus accrued and unpaid interest thereon together with any reasonable fees, premiums (including tender premiums) and expenses relating to such extension, renewal, alteration or replacement and (ii) such extension, renewal, alteration, refinancing or replacement shall be limited to all or a part of the property or assets which secured the Lien so extended, renewed, altered or replaced (plus improvements on such property or assets);</w:t>
      </w:r>
    </w:p>
    <w:p>
      <w:pPr>
        <w:spacing w:after="0" w:line="182" w:lineRule="exact"/>
        <w:rPr>
          <w:rFonts w:ascii="Arial" w:cs="Arial" w:eastAsia="Arial" w:hAnsi="Arial"/>
          <w:sz w:val="19"/>
          <w:szCs w:val="19"/>
          <w:color w:val="auto"/>
        </w:rPr>
      </w:pPr>
    </w:p>
    <w:p>
      <w:pPr>
        <w:ind w:right="80" w:firstLine="1305"/>
        <w:spacing w:after="0" w:line="250" w:lineRule="auto"/>
        <w:tabs>
          <w:tab w:leader="none" w:pos="1707" w:val="left"/>
        </w:tabs>
        <w:numPr>
          <w:ilvl w:val="1"/>
          <w:numId w:val="31"/>
        </w:numPr>
        <w:rPr>
          <w:rFonts w:ascii="Arial" w:cs="Arial" w:eastAsia="Arial" w:hAnsi="Arial"/>
          <w:sz w:val="20"/>
          <w:szCs w:val="20"/>
          <w:color w:val="auto"/>
        </w:rPr>
      </w:pPr>
      <w:r>
        <w:rPr>
          <w:rFonts w:ascii="Arial" w:cs="Arial" w:eastAsia="Arial" w:hAnsi="Arial"/>
          <w:sz w:val="20"/>
          <w:szCs w:val="20"/>
          <w:color w:val="auto"/>
        </w:rPr>
        <w:t xml:space="preserve">Liens for taxes, assessments or governmental charges or claims that are not yet overdue for a period of 30 days or that are being contested in good faith by appropriate proceedings;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reserve or other appropriate provision as is required in conformity with GAAP has been made therefor;</w:t>
      </w:r>
    </w:p>
    <w:p>
      <w:pPr>
        <w:spacing w:after="0" w:line="186" w:lineRule="exact"/>
        <w:rPr>
          <w:rFonts w:ascii="Arial" w:cs="Arial" w:eastAsia="Arial" w:hAnsi="Arial"/>
          <w:sz w:val="20"/>
          <w:szCs w:val="20"/>
          <w:color w:val="auto"/>
        </w:rPr>
      </w:pPr>
    </w:p>
    <w:p>
      <w:pPr>
        <w:ind w:right="100" w:firstLine="1305"/>
        <w:spacing w:after="0" w:line="260" w:lineRule="auto"/>
        <w:tabs>
          <w:tab w:leader="none" w:pos="1806" w:val="left"/>
        </w:tabs>
        <w:numPr>
          <w:ilvl w:val="1"/>
          <w:numId w:val="31"/>
        </w:numPr>
        <w:rPr>
          <w:rFonts w:ascii="Arial" w:cs="Arial" w:eastAsia="Arial" w:hAnsi="Arial"/>
          <w:sz w:val="20"/>
          <w:szCs w:val="20"/>
          <w:color w:val="auto"/>
        </w:rPr>
      </w:pPr>
      <w:r>
        <w:rPr>
          <w:rFonts w:ascii="Arial" w:cs="Arial" w:eastAsia="Arial" w:hAnsi="Arial"/>
          <w:sz w:val="20"/>
          <w:szCs w:val="20"/>
          <w:color w:val="auto"/>
        </w:rPr>
        <w:t>Liens imposed by law, such as carriers’, warehousemen’s, landlord’s and mechanics’ Liens, in each case, incurred in the ordinary course of business;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366" w:right="239" w:bottom="1440" w:gutter="0" w:footer="0" w:header="0"/>
        </w:sectPr>
      </w:pPr>
    </w:p>
    <w:bookmarkStart w:id="26" w:name="page27"/>
    <w:bookmarkEnd w:id="26"/>
    <w:p>
      <w:pPr>
        <w:ind w:right="120" w:firstLine="1305"/>
        <w:spacing w:after="0" w:line="246" w:lineRule="auto"/>
        <w:tabs>
          <w:tab w:leader="none" w:pos="1799" w:val="left"/>
        </w:tabs>
        <w:numPr>
          <w:ilvl w:val="0"/>
          <w:numId w:val="32"/>
        </w:numPr>
        <w:rPr>
          <w:rFonts w:ascii="Arial" w:cs="Arial" w:eastAsia="Arial" w:hAnsi="Arial"/>
          <w:sz w:val="20"/>
          <w:szCs w:val="20"/>
          <w:color w:val="auto"/>
        </w:rPr>
      </w:pPr>
      <w:r>
        <w:rPr>
          <w:rFonts w:ascii="Arial" w:cs="Arial" w:eastAsia="Arial" w:hAnsi="Arial"/>
          <w:sz w:val="20"/>
          <w:szCs w:val="20"/>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191" w:lineRule="exact"/>
        <w:rPr>
          <w:rFonts w:ascii="Arial" w:cs="Arial" w:eastAsia="Arial" w:hAnsi="Arial"/>
          <w:sz w:val="20"/>
          <w:szCs w:val="20"/>
          <w:color w:val="auto"/>
        </w:rPr>
      </w:pPr>
    </w:p>
    <w:p>
      <w:pPr>
        <w:ind w:left="1820" w:hanging="515"/>
        <w:spacing w:after="0"/>
        <w:tabs>
          <w:tab w:leader="none" w:pos="18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Liens created for the benefit of (or to secure) the Notes (or the Note Guarantees);</w:t>
      </w:r>
    </w:p>
    <w:p>
      <w:pPr>
        <w:spacing w:after="0" w:line="216" w:lineRule="exact"/>
        <w:rPr>
          <w:sz w:val="20"/>
          <w:szCs w:val="20"/>
          <w:color w:val="auto"/>
        </w:rPr>
      </w:pPr>
    </w:p>
    <w:p>
      <w:pPr>
        <w:ind w:left="1720" w:hanging="415"/>
        <w:spacing w:after="0"/>
        <w:tabs>
          <w:tab w:leader="none" w:pos="1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Liens on insurance policies and proceeds thereof, or other deposits, to secure insurance premium financings;</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filing of Uniform Commercial Code financing statements as a precautionary measure in connection with operating leases;</w:t>
      </w:r>
    </w:p>
    <w:p>
      <w:pPr>
        <w:spacing w:after="0" w:line="238" w:lineRule="exact"/>
        <w:rPr>
          <w:rFonts w:ascii="Arial" w:cs="Arial" w:eastAsia="Arial" w:hAnsi="Arial"/>
          <w:sz w:val="18"/>
          <w:szCs w:val="18"/>
          <w:color w:val="auto"/>
        </w:rPr>
      </w:pPr>
    </w:p>
    <w:p>
      <w:pPr>
        <w:ind w:right="100" w:firstLine="1305"/>
        <w:spacing w:after="0" w:line="250" w:lineRule="auto"/>
        <w:tabs>
          <w:tab w:leader="none" w:pos="1707"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bankers’ Liens, rights of setoff, Liens arising out of judgments or awards not constituting an Event of Default and notices of </w:t>
      </w:r>
      <w:r>
        <w:rPr>
          <w:rFonts w:ascii="Arial" w:cs="Arial" w:eastAsia="Arial" w:hAnsi="Arial"/>
          <w:sz w:val="20"/>
          <w:szCs w:val="20"/>
          <w:i w:val="1"/>
          <w:iCs w:val="1"/>
          <w:color w:val="auto"/>
        </w:rPr>
        <w:t>lis pendens</w:t>
      </w:r>
      <w:r>
        <w:rPr>
          <w:rFonts w:ascii="Arial" w:cs="Arial" w:eastAsia="Arial" w:hAnsi="Arial"/>
          <w:sz w:val="20"/>
          <w:szCs w:val="20"/>
          <w:color w:val="auto"/>
        </w:rPr>
        <w:t xml:space="preserve"> and associated rights related to litigation being contested in good faith by appropriate proceedings and for which adequate reserves have been made;</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cash, Cash Equivalents or other property arising in connection with the defeasance, discharge or redemption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Indebtedness;</w:t>
      </w:r>
    </w:p>
    <w:p>
      <w:pPr>
        <w:spacing w:after="0" w:line="199" w:lineRule="exact"/>
        <w:rPr>
          <w:rFonts w:ascii="Arial" w:cs="Arial" w:eastAsia="Arial" w:hAnsi="Arial"/>
          <w:sz w:val="18"/>
          <w:szCs w:val="18"/>
          <w:color w:val="auto"/>
        </w:rPr>
      </w:pPr>
    </w:p>
    <w:p>
      <w:pPr>
        <w:ind w:right="280" w:firstLine="1305"/>
        <w:spacing w:after="0" w:line="250" w:lineRule="auto"/>
        <w:tabs>
          <w:tab w:leader="none" w:pos="1707" w:val="left"/>
        </w:tabs>
        <w:numPr>
          <w:ilvl w:val="0"/>
          <w:numId w:val="33"/>
        </w:numPr>
        <w:rPr>
          <w:rFonts w:ascii="Arial" w:cs="Arial" w:eastAsia="Arial" w:hAnsi="Arial"/>
          <w:sz w:val="20"/>
          <w:szCs w:val="20"/>
          <w:color w:val="auto"/>
        </w:rPr>
      </w:pPr>
      <w:r>
        <w:rPr>
          <w:rFonts w:ascii="Arial" w:cs="Arial" w:eastAsia="Arial" w:hAnsi="Arial"/>
          <w:sz w:val="20"/>
          <w:szCs w:val="20"/>
          <w:color w:val="auto"/>
        </w:rPr>
        <w:t>Liens on specific items of inventory or other goods (and the proceeds thereof) of any Person securing such Person’s obligations in respect of bankers’ acceptances issued or created in the ordinary course of business for the account of such Person to facilitate the purchase, shipment or storage of such inventory or other goods;</w:t>
      </w:r>
    </w:p>
    <w:p>
      <w:pPr>
        <w:spacing w:after="0" w:line="186" w:lineRule="exact"/>
        <w:rPr>
          <w:rFonts w:ascii="Arial" w:cs="Arial" w:eastAsia="Arial" w:hAnsi="Arial"/>
          <w:sz w:val="20"/>
          <w:szCs w:val="20"/>
          <w:color w:val="auto"/>
        </w:rPr>
      </w:pPr>
    </w:p>
    <w:p>
      <w:pPr>
        <w:ind w:right="80" w:firstLine="1305"/>
        <w:spacing w:after="0" w:line="250" w:lineRule="auto"/>
        <w:tabs>
          <w:tab w:leader="none" w:pos="1707"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leases, subleases, licenses or sublicenses granted to others in the ordinary course of business which do not materially interfere with the ordinary conduct of the business of the Company or any of its Subsidiaries and do not secure any Indebtedness and (b) grants of software and other technology licenses in the ordinary course of business;</w:t>
      </w:r>
    </w:p>
    <w:p>
      <w:pPr>
        <w:spacing w:after="0" w:line="186" w:lineRule="exact"/>
        <w:rPr>
          <w:rFonts w:ascii="Arial" w:cs="Arial" w:eastAsia="Arial" w:hAnsi="Arial"/>
          <w:sz w:val="20"/>
          <w:szCs w:val="20"/>
          <w:color w:val="auto"/>
        </w:rPr>
      </w:pPr>
    </w:p>
    <w:p>
      <w:pPr>
        <w:ind w:firstLine="1305"/>
        <w:spacing w:after="0" w:line="260" w:lineRule="auto"/>
        <w:tabs>
          <w:tab w:leader="none" w:pos="1707" w:val="left"/>
        </w:tabs>
        <w:numPr>
          <w:ilvl w:val="0"/>
          <w:numId w:val="33"/>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the sale of goods entered into in the ordinary course of business;</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Liens securing Indebtedness of Foreign Subsidiaries that relate solely to the Equity Interests or assets of Foreign</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Subsidiaries;</w:t>
      </w:r>
    </w:p>
    <w:p>
      <w:pPr>
        <w:spacing w:after="0" w:line="199" w:lineRule="exact"/>
        <w:rPr>
          <w:rFonts w:ascii="Arial" w:cs="Arial" w:eastAsia="Arial" w:hAnsi="Arial"/>
          <w:sz w:val="19"/>
          <w:szCs w:val="19"/>
          <w:color w:val="auto"/>
        </w:rPr>
      </w:pPr>
    </w:p>
    <w:p>
      <w:pPr>
        <w:ind w:right="620" w:firstLine="1305"/>
        <w:spacing w:after="0" w:line="260" w:lineRule="auto"/>
        <w:tabs>
          <w:tab w:leader="none" w:pos="1707" w:val="left"/>
        </w:tabs>
        <w:numPr>
          <w:ilvl w:val="0"/>
          <w:numId w:val="33"/>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 in the ordinary course of business;</w:t>
      </w:r>
    </w:p>
    <w:p>
      <w:pPr>
        <w:spacing w:after="0" w:line="176" w:lineRule="exact"/>
        <w:rPr>
          <w:rFonts w:ascii="Arial" w:cs="Arial" w:eastAsia="Arial" w:hAnsi="Arial"/>
          <w:sz w:val="20"/>
          <w:szCs w:val="20"/>
          <w:color w:val="auto"/>
        </w:rPr>
      </w:pPr>
    </w:p>
    <w:p>
      <w:pPr>
        <w:ind w:right="20" w:firstLine="1305"/>
        <w:spacing w:after="0" w:line="250" w:lineRule="auto"/>
        <w:tabs>
          <w:tab w:leader="none" w:pos="1806" w:val="left"/>
        </w:tabs>
        <w:numPr>
          <w:ilvl w:val="0"/>
          <w:numId w:val="33"/>
        </w:numPr>
        <w:rPr>
          <w:rFonts w:ascii="Arial" w:cs="Arial" w:eastAsia="Arial" w:hAnsi="Arial"/>
          <w:sz w:val="20"/>
          <w:szCs w:val="20"/>
          <w:color w:val="auto"/>
        </w:rPr>
      </w:pPr>
      <w:r>
        <w:rPr>
          <w:rFonts w:ascii="Arial" w:cs="Arial" w:eastAsia="Arial" w:hAnsi="Arial"/>
          <w:sz w:val="20"/>
          <w:szCs w:val="20"/>
          <w:color w:val="auto"/>
        </w:rPr>
        <w:t>Liens (a) of a collection bank arising under Section 4-210 of the Uniform Commercial Code on items in the course of collection, (b) attaching to commodity trading accounts or other brokerage accounts incurred in the ordinary course of business, and (c) in favor of banking institutions arising as a matter of law encumbering deposits (including the right of set-off);</w:t>
      </w:r>
    </w:p>
    <w:p>
      <w:pPr>
        <w:spacing w:after="0" w:line="186" w:lineRule="exact"/>
        <w:rPr>
          <w:rFonts w:ascii="Arial" w:cs="Arial" w:eastAsia="Arial" w:hAnsi="Arial"/>
          <w:sz w:val="20"/>
          <w:szCs w:val="20"/>
          <w:color w:val="auto"/>
        </w:rPr>
      </w:pPr>
    </w:p>
    <w:p>
      <w:pPr>
        <w:ind w:right="160" w:firstLine="1305"/>
        <w:spacing w:after="0" w:line="250" w:lineRule="auto"/>
        <w:tabs>
          <w:tab w:leader="none" w:pos="1799" w:val="left"/>
        </w:tabs>
        <w:numPr>
          <w:ilvl w:val="0"/>
          <w:numId w:val="33"/>
        </w:numPr>
        <w:rPr>
          <w:rFonts w:ascii="Arial" w:cs="Arial" w:eastAsia="Arial" w:hAnsi="Arial"/>
          <w:sz w:val="20"/>
          <w:szCs w:val="20"/>
          <w:color w:val="auto"/>
        </w:rPr>
      </w:pPr>
      <w:r>
        <w:rPr>
          <w:rFonts w:ascii="Arial" w:cs="Arial" w:eastAsia="Arial" w:hAnsi="Arial"/>
          <w:sz w:val="20"/>
          <w:szCs w:val="20"/>
          <w:color w:val="auto"/>
        </w:rPr>
        <w:t>Liens that are contractual rights of set-off (a) relating to pooled deposit or sweep accounts of the Company or any of its Subsidiaries to permit satisfaction of overdraft or similar obligations incurred in the ordinary course of business of the Company and its Subsidiaries or (b) relating</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366" w:right="239" w:bottom="1440" w:gutter="0" w:footer="0" w:header="0"/>
        </w:sectPr>
      </w:pPr>
    </w:p>
    <w:bookmarkStart w:id="27" w:name="page28"/>
    <w:bookmarkEnd w:id="27"/>
    <w:p>
      <w:pPr>
        <w:ind w:right="640"/>
        <w:spacing w:after="0" w:line="260" w:lineRule="auto"/>
        <w:rPr>
          <w:sz w:val="20"/>
          <w:szCs w:val="20"/>
          <w:color w:val="auto"/>
        </w:rPr>
      </w:pPr>
      <w:r>
        <w:rPr>
          <w:rFonts w:ascii="Arial" w:cs="Arial" w:eastAsia="Arial" w:hAnsi="Arial"/>
          <w:sz w:val="20"/>
          <w:szCs w:val="20"/>
          <w:color w:val="auto"/>
        </w:rPr>
        <w:t>to purchase orders and other agreements entered into with customers of the Company or any of its Subsidiaries in the ordinary course of business;</w:t>
      </w:r>
    </w:p>
    <w:p>
      <w:pPr>
        <w:spacing w:after="0" w:line="177" w:lineRule="exact"/>
        <w:rPr>
          <w:sz w:val="20"/>
          <w:szCs w:val="20"/>
          <w:color w:val="auto"/>
        </w:rPr>
      </w:pPr>
    </w:p>
    <w:p>
      <w:pPr>
        <w:ind w:left="1820" w:hanging="515"/>
        <w:spacing w:after="0"/>
        <w:tabs>
          <w:tab w:leader="none" w:pos="1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Liens securing Hedging Obligations entered into in the ordinary course of business and not for speculative purposes; and</w:t>
      </w:r>
    </w:p>
    <w:p>
      <w:pPr>
        <w:spacing w:after="0" w:line="261" w:lineRule="exact"/>
        <w:rPr>
          <w:rFonts w:ascii="Arial" w:cs="Arial" w:eastAsia="Arial" w:hAnsi="Arial"/>
          <w:sz w:val="16"/>
          <w:szCs w:val="16"/>
          <w:color w:val="auto"/>
        </w:rPr>
      </w:pPr>
    </w:p>
    <w:p>
      <w:pPr>
        <w:ind w:right="440" w:firstLine="1305"/>
        <w:spacing w:after="0" w:line="287" w:lineRule="auto"/>
        <w:tabs>
          <w:tab w:leader="none" w:pos="1806" w:val="left"/>
        </w:tabs>
        <w:numPr>
          <w:ilvl w:val="0"/>
          <w:numId w:val="34"/>
        </w:numPr>
        <w:rPr>
          <w:rFonts w:ascii="Arial" w:cs="Arial" w:eastAsia="Arial" w:hAnsi="Arial"/>
          <w:sz w:val="19"/>
          <w:szCs w:val="19"/>
          <w:color w:val="auto"/>
        </w:rPr>
      </w:pPr>
      <w:r>
        <w:rPr>
          <w:rFonts w:ascii="Arial" w:cs="Arial" w:eastAsia="Arial" w:hAnsi="Arial"/>
          <w:sz w:val="19"/>
          <w:szCs w:val="19"/>
          <w:color w:val="auto"/>
        </w:rPr>
        <w:t>Liens incurred in the ordinary course of business of the Company or any Subsidiary of the Company with respect to obligations that do not exceed, as of any date of incurrence, the greater of (a) $150.0 million or (b) 5.5% of Total Assets.</w:t>
      </w:r>
    </w:p>
    <w:p>
      <w:pPr>
        <w:spacing w:after="0" w:line="153" w:lineRule="exact"/>
        <w:rPr>
          <w:sz w:val="20"/>
          <w:szCs w:val="20"/>
          <w:color w:val="auto"/>
        </w:rPr>
      </w:pPr>
    </w:p>
    <w:p>
      <w:pPr>
        <w:ind w:right="280" w:firstLine="648"/>
        <w:spacing w:after="0" w:line="243" w:lineRule="auto"/>
        <w:rPr>
          <w:sz w:val="20"/>
          <w:szCs w:val="20"/>
          <w:color w:val="auto"/>
        </w:rPr>
      </w:pPr>
      <w:r>
        <w:rPr>
          <w:rFonts w:ascii="Arial" w:cs="Arial" w:eastAsia="Arial" w:hAnsi="Arial"/>
          <w:sz w:val="20"/>
          <w:szCs w:val="20"/>
          <w:color w:val="auto"/>
        </w:rPr>
        <w:t>For purposes of determining compliance with this definition, (x) a Lien need not be incurred solely by reference to one category of Permitted Liens described in this definition, but may be incurred under any combination of such categories (including in part under one such category and in part under any other such category), (y) in the event that a Lien (or any portion thereof) meets the criteria of one or more of such categories of Permitted Liens, the Company shall, in its sole discretion, classify or reclassify such Lien (or any portion thereof) in any manner that complies with this definition and (z) Liens permitted to be incurred pursuant to Section 4.05 shall not be considered Permitted Liens under the Indenture.</w:t>
      </w:r>
    </w:p>
    <w:p>
      <w:pPr>
        <w:spacing w:after="0" w:line="197" w:lineRule="exact"/>
        <w:rPr>
          <w:sz w:val="20"/>
          <w:szCs w:val="20"/>
          <w:color w:val="auto"/>
        </w:rPr>
      </w:pPr>
    </w:p>
    <w:p>
      <w:pPr>
        <w:ind w:right="7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any individual, corporation, partnership, joint venture, association, joint-stock company, trust, unincorporated organization, limited liability company or government or other entity.</w:t>
      </w:r>
    </w:p>
    <w:p>
      <w:pPr>
        <w:spacing w:after="0" w:line="177"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Physical Notes</w:t>
      </w:r>
      <w:r>
        <w:rPr>
          <w:rFonts w:ascii="Arial" w:cs="Arial" w:eastAsia="Arial" w:hAnsi="Arial"/>
          <w:sz w:val="20"/>
          <w:szCs w:val="20"/>
          <w:color w:val="auto"/>
        </w:rPr>
        <w:t>” means certificated Notes that are not in global form and are registered in the name of the Holder and issued in denominations of $2,000 principal amount and integral multiples of $1,000 in excess thereof.</w:t>
      </w:r>
    </w:p>
    <w:p>
      <w:pPr>
        <w:spacing w:after="0" w:line="177"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Rating Agencies</w:t>
      </w:r>
      <w:r>
        <w:rPr>
          <w:rFonts w:ascii="Arial" w:cs="Arial" w:eastAsia="Arial" w:hAnsi="Arial"/>
          <w:sz w:val="20"/>
          <w:szCs w:val="20"/>
          <w:color w:val="auto"/>
        </w:rPr>
        <w:t>” means Moody’s and S&amp;P, or if Moody’s or S&amp;P or both shall not make a rating on the Notes publicly available, a nationally recognized statistical rating agency or agencies, as the case may be, selected by the Company, which shall be substituted for Moody’s or S&amp;P or both, as the case may be.</w:t>
      </w:r>
    </w:p>
    <w:p>
      <w:pPr>
        <w:spacing w:after="0" w:line="186" w:lineRule="exact"/>
        <w:rPr>
          <w:sz w:val="20"/>
          <w:szCs w:val="20"/>
          <w:color w:val="auto"/>
        </w:rPr>
      </w:pPr>
    </w:p>
    <w:p>
      <w:pPr>
        <w:ind w:right="80" w:firstLine="656"/>
        <w:spacing w:after="0" w:line="246" w:lineRule="auto"/>
        <w:tabs>
          <w:tab w:leader="none" w:pos="1026" w:val="left"/>
        </w:tabs>
        <w:numPr>
          <w:ilvl w:val="0"/>
          <w:numId w:val="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Ratings Decline Period</w:t>
      </w:r>
      <w:r>
        <w:rPr>
          <w:rFonts w:ascii="Arial" w:cs="Arial" w:eastAsia="Arial" w:hAnsi="Arial"/>
          <w:sz w:val="20"/>
          <w:szCs w:val="20"/>
          <w:color w:val="auto"/>
        </w:rPr>
        <w:t xml:space="preserve">” means the period that (i) begins on the earlier of (a) a Change of Control or (b) the first public notice of the intention by the Company to affect a Change of Control and (ii) ends 30 days following the consummation of such Change of Control; </w:t>
      </w:r>
      <w:r>
        <w:rPr>
          <w:rFonts w:ascii="Arial" w:cs="Arial" w:eastAsia="Arial" w:hAnsi="Arial"/>
          <w:sz w:val="20"/>
          <w:szCs w:val="20"/>
          <w:i w:val="1"/>
          <w:iCs w:val="1"/>
          <w:color w:val="auto"/>
        </w:rPr>
        <w:t>provided</w:t>
      </w:r>
      <w:r>
        <w:rPr>
          <w:rFonts w:ascii="Arial" w:cs="Arial" w:eastAsia="Arial" w:hAnsi="Arial"/>
          <w:sz w:val="20"/>
          <w:szCs w:val="20"/>
          <w:color w:val="auto"/>
        </w:rPr>
        <w:t>, that such period will be extended so long as the rating of the Notes is under publicly announced consideration for a possible</w:t>
      </w:r>
      <w:r>
        <w:rPr>
          <w:rFonts w:ascii="Arial" w:cs="Arial" w:eastAsia="Arial" w:hAnsi="Arial"/>
          <w:sz w:val="20"/>
          <w:szCs w:val="20"/>
          <w:i w:val="1"/>
          <w:iCs w:val="1"/>
          <w:color w:val="auto"/>
        </w:rPr>
        <w:t xml:space="preserve"> </w:t>
      </w:r>
      <w:r>
        <w:rPr>
          <w:rFonts w:ascii="Arial" w:cs="Arial" w:eastAsia="Arial" w:hAnsi="Arial"/>
          <w:sz w:val="20"/>
          <w:szCs w:val="20"/>
          <w:color w:val="auto"/>
        </w:rPr>
        <w:t>downgrade by either of the Rating Agencies).</w:t>
      </w:r>
    </w:p>
    <w:p>
      <w:pPr>
        <w:spacing w:after="0" w:line="191" w:lineRule="exact"/>
        <w:rPr>
          <w:rFonts w:ascii="Arial" w:cs="Arial" w:eastAsia="Arial" w:hAnsi="Arial"/>
          <w:sz w:val="20"/>
          <w:szCs w:val="20"/>
          <w:color w:val="auto"/>
        </w:rPr>
      </w:pPr>
    </w:p>
    <w:p>
      <w:pPr>
        <w:ind w:right="260" w:firstLine="656"/>
        <w:spacing w:after="0" w:line="282" w:lineRule="auto"/>
        <w:tabs>
          <w:tab w:leader="none" w:pos="10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Ratings Event</w:t>
      </w:r>
      <w:r>
        <w:rPr>
          <w:rFonts w:ascii="Arial" w:cs="Arial" w:eastAsia="Arial" w:hAnsi="Arial"/>
          <w:sz w:val="18"/>
          <w:szCs w:val="18"/>
          <w:color w:val="auto"/>
        </w:rPr>
        <w:t>” means (i) a downgrade by one or more gradations (including gradations within ratings categories, as well as between rating categories) or withdrawal of the rating of the Notes within the Ratings Decline Period by each of the Rating Agencies (unless the applicable Rating Agency shall have put forth a written statement to the effect that such downgrade or withdrawal is not attributable in whole or in part to the applicable Change of Control) and (ii) the Notes do not have an Investment Grade rating from any Rating Agency.</w:t>
      </w:r>
    </w:p>
    <w:p>
      <w:pPr>
        <w:spacing w:after="0" w:line="162"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Refinancing Transactions</w:t>
      </w:r>
      <w:r>
        <w:rPr>
          <w:rFonts w:ascii="Arial" w:cs="Arial" w:eastAsia="Arial" w:hAnsi="Arial"/>
          <w:sz w:val="20"/>
          <w:szCs w:val="20"/>
          <w:color w:val="auto"/>
        </w:rPr>
        <w:t>” means the issuance of the Initial Notes, the use of the net proceeds therefrom as described under the caption “Use of proceeds” in the Offering Memorandum, the proposed amendment of the revolving credit facility under the Credit Agreement and other transactions in connection therewith or incidental thereto.</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366"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Registrar</w:t>
      </w:r>
      <w:r>
        <w:rPr>
          <w:rFonts w:ascii="Arial" w:cs="Arial" w:eastAsia="Arial" w:hAnsi="Arial"/>
          <w:sz w:val="18"/>
          <w:szCs w:val="18"/>
          <w:color w:val="auto"/>
        </w:rPr>
        <w:t>” has the meaning specified in Section 2.4 of the Original Indenture with respect to the register with respect to the Notes.</w:t>
      </w:r>
    </w:p>
    <w:p>
      <w:pPr>
        <w:spacing w:after="0" w:line="239" w:lineRule="exact"/>
        <w:rPr>
          <w:sz w:val="20"/>
          <w:szCs w:val="20"/>
          <w:color w:val="auto"/>
        </w:rPr>
      </w:pPr>
    </w:p>
    <w:p>
      <w:pPr>
        <w:jc w:val="both"/>
        <w:ind w:right="3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Regular Record Date</w:t>
      </w:r>
      <w:r>
        <w:rPr>
          <w:rFonts w:ascii="Arial" w:cs="Arial" w:eastAsia="Arial" w:hAnsi="Arial"/>
          <w:sz w:val="20"/>
          <w:szCs w:val="20"/>
          <w:color w:val="auto"/>
        </w:rPr>
        <w:t>” means, with respect to the payment of interest on the Notes, the April 15 (whether or not a Business Day) immediately preceding an Interest Payment Date on May 1 and the October 15 (whether or not a Business Day) immediately preceding an Interest Payment Date on November 1.</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S&amp;P</w:t>
      </w:r>
      <w:r>
        <w:rPr>
          <w:rFonts w:ascii="Arial" w:cs="Arial" w:eastAsia="Arial" w:hAnsi="Arial"/>
          <w:sz w:val="20"/>
          <w:szCs w:val="20"/>
          <w:color w:val="auto"/>
        </w:rPr>
        <w:t>” means S&amp;P Global Ratings and its successors.</w:t>
      </w:r>
    </w:p>
    <w:p>
      <w:pPr>
        <w:spacing w:after="0" w:line="216" w:lineRule="exact"/>
        <w:rPr>
          <w:sz w:val="20"/>
          <w:szCs w:val="20"/>
          <w:color w:val="auto"/>
        </w:rPr>
      </w:pPr>
    </w:p>
    <w:p>
      <w:pPr>
        <w:ind w:right="8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Significant Subsidiary</w:t>
      </w:r>
      <w:r>
        <w:rPr>
          <w:rFonts w:ascii="Arial" w:cs="Arial" w:eastAsia="Arial" w:hAnsi="Arial"/>
          <w:sz w:val="19"/>
          <w:szCs w:val="19"/>
          <w:color w:val="auto"/>
        </w:rPr>
        <w:t>” means any Subsidiary that would be a “significant subsidiary” as defined in Article 1, Rule 1-02 of Regulation S-X, promulgated pursuant to the Securities Act, as such Regulation is in effect on the Issue Date.</w:t>
      </w:r>
    </w:p>
    <w:p>
      <w:pPr>
        <w:spacing w:after="0" w:line="153"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Stated Maturity</w:t>
      </w:r>
      <w:r>
        <w:rPr>
          <w:rFonts w:ascii="Arial" w:cs="Arial" w:eastAsia="Arial" w:hAnsi="Arial"/>
          <w:sz w:val="20"/>
          <w:szCs w:val="20"/>
          <w:color w:val="auto"/>
        </w:rPr>
        <w:t>” means, with respect to any installment of interest or principal on any series of Indebtedness, the date on which the payment of interest or principal was scheduled to be paid in the documentation governing such Indebtedness as of the Issue Date, and will not include any contingent obligations to repay, redeem or repurchase any such interest or principal prior to the date originally scheduled for the payment thereof.</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with respect to any specified Person:</w:t>
      </w:r>
    </w:p>
    <w:p>
      <w:pPr>
        <w:spacing w:after="0" w:line="216" w:lineRule="exact"/>
        <w:rPr>
          <w:sz w:val="20"/>
          <w:szCs w:val="20"/>
          <w:color w:val="auto"/>
        </w:rPr>
      </w:pPr>
    </w:p>
    <w:p>
      <w:pPr>
        <w:ind w:right="260" w:firstLine="1305"/>
        <w:spacing w:after="0" w:line="244" w:lineRule="auto"/>
        <w:tabs>
          <w:tab w:leader="none" w:pos="1707"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94" w:lineRule="exact"/>
        <w:rPr>
          <w:rFonts w:ascii="Arial" w:cs="Arial" w:eastAsia="Arial" w:hAnsi="Arial"/>
          <w:sz w:val="20"/>
          <w:szCs w:val="20"/>
          <w:color w:val="auto"/>
        </w:rPr>
      </w:pPr>
    </w:p>
    <w:p>
      <w:pPr>
        <w:ind w:firstLine="1305"/>
        <w:spacing w:after="0" w:line="244" w:lineRule="auto"/>
        <w:tabs>
          <w:tab w:leader="none" w:pos="1707"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any partnership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(b) such Person or any Subsidiary of such Person is a controlling general partner or otherwise controls such entity.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Successor Company</w:t>
      </w:r>
      <w:r>
        <w:rPr>
          <w:rFonts w:ascii="Arial" w:cs="Arial" w:eastAsia="Arial" w:hAnsi="Arial"/>
          <w:sz w:val="20"/>
          <w:szCs w:val="20"/>
          <w:color w:val="auto"/>
        </w:rPr>
        <w:t>” has the meaning specified in Section 5.02.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Supplemental Indenture</w:t>
      </w:r>
      <w:r>
        <w:rPr>
          <w:rFonts w:ascii="Arial" w:cs="Arial" w:eastAsia="Arial" w:hAnsi="Arial"/>
          <w:sz w:val="20"/>
          <w:szCs w:val="20"/>
          <w:color w:val="auto"/>
        </w:rPr>
        <w:t>” has the meaning specified in the first paragraph hereof.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Surviving Guarantor</w:t>
      </w:r>
      <w:r>
        <w:rPr>
          <w:rFonts w:ascii="Arial" w:cs="Arial" w:eastAsia="Arial" w:hAnsi="Arial"/>
          <w:sz w:val="20"/>
          <w:szCs w:val="20"/>
          <w:color w:val="auto"/>
        </w:rPr>
        <w:t>” has the meaning specified in Section 9.05.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TIA</w:t>
      </w:r>
      <w:r>
        <w:rPr>
          <w:rFonts w:ascii="Arial" w:cs="Arial" w:eastAsia="Arial" w:hAnsi="Arial"/>
          <w:sz w:val="20"/>
          <w:szCs w:val="20"/>
          <w:color w:val="auto"/>
        </w:rPr>
        <w:t>” means the Trust Indenture Act of 1939, as amended.</w:t>
      </w:r>
    </w:p>
    <w:p>
      <w:pPr>
        <w:spacing w:after="0" w:line="216"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Assets</w:t>
      </w:r>
      <w:r>
        <w:rPr>
          <w:rFonts w:ascii="Arial" w:cs="Arial" w:eastAsia="Arial" w:hAnsi="Arial"/>
          <w:sz w:val="20"/>
          <w:szCs w:val="20"/>
          <w:color w:val="auto"/>
        </w:rPr>
        <w:t>” means the total assets of the Company and the Subsidiaries, as shown on the most recent balance sheet of the Company for the then most recently ended fiscal quarter for which internal financial statements are available immediately preceding the date of determination, with such adjustments to Total Assets as are consistent with the pro forma adjustment provisions set forth in the definition of “Consolidated Net Secured Leverage Ratio.”</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340"/>
          </w:cols>
          <w:pgMar w:left="240" w:top="366" w:right="319" w:bottom="1440" w:gutter="0" w:footer="0" w:header="0"/>
        </w:sectPr>
      </w:pPr>
    </w:p>
    <w:bookmarkStart w:id="29" w:name="page30"/>
    <w:bookmarkEnd w:id="2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Transaction Costs</w:t>
      </w:r>
      <w:r>
        <w:rPr>
          <w:rFonts w:ascii="Arial" w:cs="Arial" w:eastAsia="Arial" w:hAnsi="Arial"/>
          <w:sz w:val="20"/>
          <w:szCs w:val="20"/>
          <w:color w:val="auto"/>
        </w:rPr>
        <w:t>” means the costs, fees, expenses and premiums associated with the Refinancing Transactions.</w:t>
      </w:r>
    </w:p>
    <w:p>
      <w:pPr>
        <w:spacing w:after="0" w:line="21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Rate</w:t>
      </w:r>
      <w:r>
        <w:rPr>
          <w:rFonts w:ascii="Arial" w:cs="Arial" w:eastAsia="Arial" w:hAnsi="Arial"/>
          <w:sz w:val="16"/>
          <w:szCs w:val="16"/>
          <w:color w:val="auto"/>
        </w:rPr>
        <w:t xml:space="preserve">” means, with respect to any redemption date with respect to any Note being redeemed pursuant to Section 3.03(d), the yield to maturity as of the earlier of (a) such redemption date or (b) the date on which such notes are defeased or satisfied and discharged, of United States Treasury securities with a constant maturity (as compiled and published in the most recent Federal Reserve Statistical Release H.15 (519) that has become publicly available at least two business days prior to the redemption date, or the date of defeasance or satisfaction and discharge (or, if such Statistical Release is no longer published, any publicly available source of similar market data)) most nearly equal to the period from the redemption date, or the date of defeasance or satisfaction and discharge, to May 1, 2023;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period from the redemption date, or the date of defeasance or satisfaction and discharge, to May 1, 2023 is less than one year, the weekly average yield on actually traded United States Treasury securities adjusted to a constant maturity of one year will be used.</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Trustee</w:t>
      </w:r>
      <w:r>
        <w:rPr>
          <w:rFonts w:ascii="Arial" w:cs="Arial" w:eastAsia="Arial" w:hAnsi="Arial"/>
          <w:sz w:val="20"/>
          <w:szCs w:val="20"/>
          <w:color w:val="auto"/>
        </w:rPr>
        <w:t>” has the meaning set forth in the first paragraph of this Supplemental Indenture.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w:t>
      </w:r>
      <w:r>
        <w:rPr>
          <w:rFonts w:ascii="Arial" w:cs="Arial" w:eastAsia="Arial" w:hAnsi="Arial"/>
          <w:sz w:val="20"/>
          <w:szCs w:val="20"/>
          <w:color w:val="auto"/>
        </w:rPr>
        <w:t>” means the United States of America.</w:t>
      </w:r>
    </w:p>
    <w:p>
      <w:pPr>
        <w:spacing w:after="0" w:line="216"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Voting Stock</w:t>
      </w:r>
      <w:r>
        <w:rPr>
          <w:rFonts w:ascii="Arial" w:cs="Arial" w:eastAsia="Arial" w:hAnsi="Arial"/>
          <w:sz w:val="20"/>
          <w:szCs w:val="20"/>
          <w:color w:val="auto"/>
        </w:rPr>
        <w:t>” of any specified Person as of any date means the Capital Stock of such Person that is at the time entitled to vote in the election of the Board of Directors of such Person.</w:t>
      </w:r>
    </w:p>
    <w:p>
      <w:pPr>
        <w:spacing w:after="0" w:line="177" w:lineRule="exact"/>
        <w:rPr>
          <w:sz w:val="20"/>
          <w:szCs w:val="20"/>
          <w:color w:val="auto"/>
        </w:rPr>
      </w:pPr>
    </w:p>
    <w:p>
      <w:pPr>
        <w:ind w:right="3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Wholly-Owned Subsidiary</w:t>
      </w:r>
      <w:r>
        <w:rPr>
          <w:rFonts w:ascii="Arial" w:cs="Arial" w:eastAsia="Arial" w:hAnsi="Arial"/>
          <w:sz w:val="20"/>
          <w:szCs w:val="20"/>
          <w:color w:val="auto"/>
        </w:rPr>
        <w:t>” of any Person means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89"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THE NOTES</w:t>
      </w:r>
    </w:p>
    <w:p>
      <w:pPr>
        <w:spacing w:after="0" w:line="229"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i w:val="1"/>
          <w:iCs w:val="1"/>
          <w:color w:val="auto"/>
        </w:rPr>
        <w:t>Title and Terms; Payments.</w:t>
      </w:r>
      <w:r>
        <w:rPr>
          <w:rFonts w:ascii="Arial" w:cs="Arial" w:eastAsia="Arial" w:hAnsi="Arial"/>
          <w:sz w:val="20"/>
          <w:szCs w:val="20"/>
          <w:color w:val="auto"/>
        </w:rPr>
        <w:t xml:space="preserve"> There is hereby established a series of Securities designated the “4.250% Senior Notes due 2028” initially limited in aggregate principal amount to $500,000,000, which amount shall be as set forth in a Company Order for the authentication and delivery of Notes pursuant to Section 2.3 of the Original Indenture.</w:t>
      </w:r>
    </w:p>
    <w:p>
      <w:pPr>
        <w:spacing w:after="0" w:line="186"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The principal amount of Notes then Outstanding shall be payable at the Stated Maturity, which shall be May 1, 2028. Interest on the Notes shall accrue at a rate of 4.250% per annum, from the Issue Date or from the most recent date on which interest has been paid or duly provided for, until the principal thereof is paid or made available for payment. Interest shall be payable semi-annually in arrears on each Interest Payment Date, beginning on May 1, 2020, to the person in whose name a Note is registered on the Register at 5:00 p.m., New York City time, on the Regular Record Date immediately preceding the applicable Interest Payment Date. Interest will be computed on the basis of a 360-day year composed of twelve 30-day months. If any interest payment date, the maturity date, any redemption date, or any earlier required repurchase date of a note falls on a day that is not a business day, the required payment will be made on the next succeeding business day and no interest on such payment will accrue in respect of the delay.</w:t>
      </w:r>
    </w:p>
    <w:p>
      <w:pPr>
        <w:spacing w:after="0" w:line="181" w:lineRule="exact"/>
        <w:rPr>
          <w:sz w:val="20"/>
          <w:szCs w:val="20"/>
          <w:color w:val="auto"/>
        </w:rPr>
      </w:pPr>
    </w:p>
    <w:p>
      <w:pPr>
        <w:jc w:val="both"/>
        <w:ind w:right="260" w:firstLine="648"/>
        <w:spacing w:after="0" w:line="342" w:lineRule="auto"/>
        <w:rPr>
          <w:sz w:val="20"/>
          <w:szCs w:val="20"/>
          <w:color w:val="auto"/>
        </w:rPr>
      </w:pPr>
      <w:r>
        <w:rPr>
          <w:rFonts w:ascii="Arial" w:cs="Arial" w:eastAsia="Arial" w:hAnsi="Arial"/>
          <w:sz w:val="16"/>
          <w:szCs w:val="16"/>
          <w:color w:val="auto"/>
        </w:rPr>
        <w:t>The Company may, at its election and without notice to or the consent of the Holders of the Notes, hereafter issue additional Notes (“</w:t>
      </w:r>
      <w:r>
        <w:rPr>
          <w:rFonts w:ascii="Arial" w:cs="Arial" w:eastAsia="Arial" w:hAnsi="Arial"/>
          <w:sz w:val="16"/>
          <w:szCs w:val="16"/>
          <w:b w:val="1"/>
          <w:bCs w:val="1"/>
          <w:i w:val="1"/>
          <w:iCs w:val="1"/>
          <w:color w:val="auto"/>
        </w:rPr>
        <w:t>Additional Notes</w:t>
      </w:r>
      <w:r>
        <w:rPr>
          <w:rFonts w:ascii="Arial" w:cs="Arial" w:eastAsia="Arial" w:hAnsi="Arial"/>
          <w:sz w:val="16"/>
          <w:szCs w:val="16"/>
          <w:color w:val="auto"/>
        </w:rPr>
        <w:t>”) under the Indenture with the same terms and with the same CUSIP numbers as the Notes issued on the Issue Date (the “</w:t>
      </w:r>
      <w:r>
        <w:rPr>
          <w:rFonts w:ascii="Arial" w:cs="Arial" w:eastAsia="Arial" w:hAnsi="Arial"/>
          <w:sz w:val="16"/>
          <w:szCs w:val="16"/>
          <w:b w:val="1"/>
          <w:bCs w:val="1"/>
          <w:i w:val="1"/>
          <w:iCs w:val="1"/>
          <w:color w:val="auto"/>
        </w:rPr>
        <w:t>Initial Notes</w:t>
      </w:r>
      <w:r>
        <w:rPr>
          <w:rFonts w:ascii="Arial" w:cs="Arial" w:eastAsia="Arial" w:hAnsi="Arial"/>
          <w:sz w:val="16"/>
          <w:szCs w:val="16"/>
          <w:color w:val="auto"/>
        </w:rPr>
        <w:t>”) in an unlimited aggregate principal amount. The Notes and such Additional Notes, if any, will be treated as a single class</w:t>
      </w: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340"/>
          </w:cols>
          <w:pgMar w:left="240" w:top="366" w:right="319" w:bottom="1440" w:gutter="0" w:footer="0" w:header="0"/>
        </w:sectPr>
      </w:pPr>
    </w:p>
    <w:bookmarkStart w:id="30" w:name="page31"/>
    <w:bookmarkEnd w:id="30"/>
    <w:p>
      <w:pPr>
        <w:ind w:right="160"/>
        <w:spacing w:after="0" w:line="246" w:lineRule="auto"/>
        <w:rPr>
          <w:sz w:val="20"/>
          <w:szCs w:val="20"/>
          <w:color w:val="auto"/>
        </w:rPr>
      </w:pPr>
      <w:r>
        <w:rPr>
          <w:rFonts w:ascii="Arial" w:cs="Arial" w:eastAsia="Arial" w:hAnsi="Arial"/>
          <w:sz w:val="20"/>
          <w:szCs w:val="20"/>
          <w:color w:val="auto"/>
        </w:rPr>
        <w:t xml:space="preserve">for all purposes of the Indenture, including waivers, amendments, redemptions and offers to purchase;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any such Additional Notes subsequently issued are not fungible for U.S. federal income tax purposes or securities law purposes with any Notes previously issued, such Additional Notes shall trade separately from such previously issued Notes under a separate CUSIP number but shall otherwise be treated as a single class with all other Notes issued under the Indenture.</w:t>
      </w:r>
    </w:p>
    <w:p>
      <w:pPr>
        <w:spacing w:after="0" w:line="192"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color w:val="auto"/>
        </w:rPr>
        <w:t>Provisions relating to the Notes are set forth in Appendix A hereto (the “</w:t>
      </w:r>
      <w:r>
        <w:rPr>
          <w:rFonts w:ascii="Arial" w:cs="Arial" w:eastAsia="Arial" w:hAnsi="Arial"/>
          <w:sz w:val="20"/>
          <w:szCs w:val="20"/>
          <w:b w:val="1"/>
          <w:bCs w:val="1"/>
          <w:i w:val="1"/>
          <w:iCs w:val="1"/>
          <w:color w:val="auto"/>
        </w:rPr>
        <w:t>Appendix</w:t>
      </w:r>
      <w:r>
        <w:rPr>
          <w:rFonts w:ascii="Arial" w:cs="Arial" w:eastAsia="Arial" w:hAnsi="Arial"/>
          <w:sz w:val="20"/>
          <w:szCs w:val="20"/>
          <w:color w:val="auto"/>
        </w:rPr>
        <w:t>”), which is hereby incorporated in an expressly made a part of this Supplemental Indenture. The terms and provisions contained in the Appendix and the Notes shall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or any notation of Guarantees thereon conflicts with the express provisions of this Supplemental Indenture, the provisions of this Supplemental Indenture shall govern and be controlling.</w:t>
      </w:r>
    </w:p>
    <w:p>
      <w:pPr>
        <w:spacing w:after="0" w:line="197"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 xml:space="preserve">Notes issued in global form shall be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(including the Global Notes Legend). Notes issued in definitive form shall be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(but without the Global Notes Legend and without the “Schedule of Exchanges of Interests in the Global Note” attached thereto). Each Global Note shall represent such aggregate principal amount of the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the Depositary or the Note Custodian, at the direction of the Trustee, in accordance with written instructions given by the Holder thereof as required by Section 2.7 of the Original Indenture.</w:t>
      </w:r>
    </w:p>
    <w:p>
      <w:pPr>
        <w:spacing w:after="0" w:line="185" w:lineRule="exact"/>
        <w:rPr>
          <w:sz w:val="20"/>
          <w:szCs w:val="20"/>
          <w:color w:val="auto"/>
        </w:rPr>
      </w:pPr>
    </w:p>
    <w:p>
      <w:pPr>
        <w:ind w:right="140" w:firstLine="648"/>
        <w:spacing w:after="0" w:line="258" w:lineRule="auto"/>
        <w:rPr>
          <w:sz w:val="20"/>
          <w:szCs w:val="20"/>
          <w:color w:val="auto"/>
        </w:rPr>
      </w:pPr>
      <w:r>
        <w:rPr>
          <w:rFonts w:ascii="Arial" w:cs="Arial" w:eastAsia="Arial" w:hAnsi="Arial"/>
          <w:sz w:val="19"/>
          <w:szCs w:val="19"/>
          <w:color w:val="auto"/>
        </w:rPr>
        <w:t>The Company shall pay the principal of and interest on any Global Note in immediately available funds to the Depository or its nominee, as the case may be, as the registered Holder of such Global Note. The Company, through the Paying Agent, shall make all payments of principal, premium, if any, and interest, with respect to Physical Notes by wire transfer of immediately available funds to the accounts specified by the Holders of the Physical Notes or, if no such account is specified, by mailing a check to each such Holder’s registered address. The Company has initially designated the Trustee as its Paying Agent and its Registrar in respect of the Notes. The Company may, however, change the Paying Agent or the Registrar for the Notes without prior notice to the Holders thereof, and the Company or one of its Subsidiaries may act as the Paying Agent or the Registrar for the Notes.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 Holder may transfer or exchange Notes at the office of the Registrar in accordance with Section 2.7 of the Original Indenture.</w:t>
      </w:r>
    </w:p>
    <w:p>
      <w:pPr>
        <w:spacing w:after="0" w:line="21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i w:val="1"/>
          <w:iCs w:val="1"/>
          <w:color w:val="auto"/>
        </w:rPr>
        <w:t>Repurchase and Cancellation.</w:t>
      </w:r>
      <w:r>
        <w:rPr>
          <w:rFonts w:ascii="Arial" w:cs="Arial" w:eastAsia="Arial" w:hAnsi="Arial"/>
          <w:sz w:val="20"/>
          <w:szCs w:val="20"/>
          <w:color w:val="auto"/>
        </w:rPr>
        <w:t xml:space="preserve"> To the extent permitted by law, the Company may at any time and from time to time repurchase Notes in open market purchases or by tender at any price or in negotiated transactions without giving prior notice to Holders. The Company shall surrender any Notes repurchased by the Company to the Trustee for cancellation in accordance with Section 2.12 of the Original Indenture and any such Notes repurchased by the Company shall be deemed to be no longer Outstanding. Any Notes surrendered for cancellation by the Company shall not be reissued or resold.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366" w:right="239" w:bottom="1440" w:gutter="0" w:footer="0" w:header="0"/>
        </w:sectPr>
      </w:pPr>
    </w:p>
    <w:bookmarkStart w:id="31" w:name="page32"/>
    <w:bookmarkEnd w:id="31"/>
    <w:p>
      <w:pPr>
        <w:jc w:val="center"/>
        <w:ind w:right="22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REDEMPTION AND PREPAYMENT</w:t>
      </w:r>
    </w:p>
    <w:p>
      <w:pPr>
        <w:spacing w:after="0" w:line="22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6"/>
          <w:szCs w:val="16"/>
          <w:i w:val="1"/>
          <w:iCs w:val="1"/>
          <w:color w:val="auto"/>
        </w:rPr>
        <w:t>Notice of Redemption.</w:t>
      </w:r>
    </w:p>
    <w:p>
      <w:pPr>
        <w:spacing w:after="0" w:line="216" w:lineRule="exact"/>
        <w:rPr>
          <w:sz w:val="20"/>
          <w:szCs w:val="20"/>
          <w:color w:val="auto"/>
        </w:rPr>
      </w:pPr>
    </w:p>
    <w:p>
      <w:pPr>
        <w:ind w:right="100" w:firstLine="1088"/>
        <w:spacing w:after="0" w:line="244" w:lineRule="auto"/>
        <w:tabs>
          <w:tab w:leader="none" w:pos="14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Notwithstanding Section 3.3 of the Original Indenture, notices of redemption will be delivered electronically in portable document format (“pdf”) or mailed by first class mail at least 15 but not more than 60 days before the redemption date to each holder of notes to be redeemed at its registered address or otherwise in accordance with the procedures of DTC, except that redemption notices may be mailed more than 60 days prior to a redemption date if the notice is issued in connection with a defeasance of the Notes or a satisfaction and discharge of the Indenture.</w:t>
      </w:r>
    </w:p>
    <w:p>
      <w:pPr>
        <w:spacing w:after="0" w:line="195"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3.02</w:t>
      </w:r>
      <w:r>
        <w:rPr>
          <w:sz w:val="20"/>
          <w:szCs w:val="20"/>
          <w:color w:val="auto"/>
        </w:rPr>
        <w:tab/>
      </w:r>
      <w:r>
        <w:rPr>
          <w:rFonts w:ascii="Arial" w:cs="Arial" w:eastAsia="Arial" w:hAnsi="Arial"/>
          <w:sz w:val="16"/>
          <w:szCs w:val="16"/>
          <w:i w:val="1"/>
          <w:iCs w:val="1"/>
          <w:color w:val="auto"/>
        </w:rPr>
        <w:t>Effect of Notice of Redemption.</w:t>
      </w:r>
    </w:p>
    <w:p>
      <w:pPr>
        <w:spacing w:after="0" w:line="216" w:lineRule="exact"/>
        <w:rPr>
          <w:sz w:val="20"/>
          <w:szCs w:val="20"/>
          <w:color w:val="auto"/>
        </w:rPr>
      </w:pPr>
    </w:p>
    <w:p>
      <w:pPr>
        <w:ind w:right="80" w:firstLine="1088"/>
        <w:spacing w:after="0" w:line="244" w:lineRule="auto"/>
        <w:tabs>
          <w:tab w:leader="none" w:pos="14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Notwithstanding Section 3.4 of the Original Indenture, any notice of redemption may, at the Company’s discretion, be subject to one or more conditions precedent, including, but not limited to, availability of borrowings under any Credit Facility, completion of a sale of common stock or other securities offering or corporate transaction. Once notice of redemption is provided in accordance with the Indenture, Notes called for redemption become irrevocably due and payable on the redemption date at the redemption price, subject only to the satisfaction or waiver of any conditions precedent.</w:t>
      </w:r>
    </w:p>
    <w:p>
      <w:pPr>
        <w:spacing w:after="0" w:line="194" w:lineRule="exact"/>
        <w:rPr>
          <w:rFonts w:ascii="Arial" w:cs="Arial" w:eastAsia="Arial" w:hAnsi="Arial"/>
          <w:sz w:val="20"/>
          <w:szCs w:val="20"/>
          <w:color w:val="auto"/>
        </w:rPr>
      </w:pPr>
    </w:p>
    <w:p>
      <w:pPr>
        <w:ind w:right="100" w:firstLine="1088"/>
        <w:spacing w:after="0" w:line="244" w:lineRule="auto"/>
        <w:tabs>
          <w:tab w:leader="none" w:pos="1491" w:val="left"/>
        </w:tabs>
        <w:numPr>
          <w:ilvl w:val="0"/>
          <w:numId w:val="38"/>
        </w:numPr>
        <w:rPr>
          <w:rFonts w:ascii="Arial" w:cs="Arial" w:eastAsia="Arial" w:hAnsi="Arial"/>
          <w:sz w:val="20"/>
          <w:szCs w:val="20"/>
          <w:color w:val="auto"/>
        </w:rPr>
      </w:pPr>
      <w:r>
        <w:rPr>
          <w:rFonts w:ascii="Arial" w:cs="Arial" w:eastAsia="Arial" w:hAnsi="Arial"/>
          <w:sz w:val="20"/>
          <w:szCs w:val="20"/>
          <w:color w:val="auto"/>
        </w:rPr>
        <w:t>If such notice of redemption is subject to satisfaction of one or more conditions precedent, such notice shall state that, in the Company’s discretion, the redemption date may be delayed until such time as any or all such conditions shall be satisfied (which, for the avoidance of doubt, may be later than 60 days from the date such notice was delivered or mailed), or such redemption may not occur and such notice may be rescinded in the event that any or all such conditions shall not have been satisfied by the redemption date, or by the redemption date so delayed.</w:t>
      </w:r>
    </w:p>
    <w:p>
      <w:pPr>
        <w:spacing w:after="0" w:line="195"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3.03</w:t>
      </w:r>
      <w:r>
        <w:rPr>
          <w:sz w:val="20"/>
          <w:szCs w:val="20"/>
          <w:color w:val="auto"/>
        </w:rPr>
        <w:tab/>
      </w:r>
      <w:r>
        <w:rPr>
          <w:rFonts w:ascii="Arial" w:cs="Arial" w:eastAsia="Arial" w:hAnsi="Arial"/>
          <w:sz w:val="16"/>
          <w:szCs w:val="16"/>
          <w:i w:val="1"/>
          <w:iCs w:val="1"/>
          <w:color w:val="auto"/>
        </w:rPr>
        <w:t>Optional Redemption.</w:t>
      </w:r>
    </w:p>
    <w:p>
      <w:pPr>
        <w:spacing w:after="0" w:line="216" w:lineRule="exact"/>
        <w:rPr>
          <w:sz w:val="20"/>
          <w:szCs w:val="20"/>
          <w:color w:val="auto"/>
        </w:rPr>
      </w:pPr>
    </w:p>
    <w:p>
      <w:pPr>
        <w:ind w:firstLine="1088"/>
        <w:spacing w:after="0" w:line="260" w:lineRule="auto"/>
        <w:tabs>
          <w:tab w:leader="none" w:pos="1480"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At any time prior to May 1, 2023, the Company may on any one or more occasions redeem up to 40% of the aggregate principal amount of Notes issued under this Supplemental Indenture (including any Additional Notes), upon not less than 15 nor more than 60 days’ notice, at a redemption price equal to 104.25% of the principal amount of the Notes redeemed, plus accrued and unpaid interest, if any, to, but not including, the date of redemption (subject to the rights of Holders of Notes on the relevant record date to receive interest on the relevant interest payment date), with the net cash proceeds of an Equity Offering;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180" w:lineRule="exact"/>
        <w:rPr>
          <w:rFonts w:ascii="Arial" w:cs="Arial" w:eastAsia="Arial" w:hAnsi="Arial"/>
          <w:sz w:val="19"/>
          <w:szCs w:val="19"/>
          <w:color w:val="auto"/>
        </w:rPr>
      </w:pPr>
    </w:p>
    <w:p>
      <w:pPr>
        <w:ind w:right="260" w:firstLine="1305"/>
        <w:spacing w:after="0" w:line="316" w:lineRule="auto"/>
        <w:tabs>
          <w:tab w:leader="none" w:pos="170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at least 60% of the aggregate principal amount of Notes originally issued under this Supplemental Indenture (excluding Notes held by the Company and its Subsidiaries) remains outstanding immediately after the occurrence of such redemption; and</w:t>
      </w:r>
    </w:p>
    <w:p>
      <w:pPr>
        <w:spacing w:after="0" w:line="130" w:lineRule="exact"/>
        <w:rPr>
          <w:rFonts w:ascii="Arial" w:cs="Arial" w:eastAsia="Arial" w:hAnsi="Arial"/>
          <w:sz w:val="18"/>
          <w:szCs w:val="18"/>
          <w:color w:val="auto"/>
        </w:rPr>
      </w:pPr>
    </w:p>
    <w:p>
      <w:pPr>
        <w:ind w:left="1720" w:hanging="415"/>
        <w:spacing w:after="0"/>
        <w:tabs>
          <w:tab w:leader="none" w:pos="1720"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redemption occurs within 180 days of the date of the closing of such Equity Offering.</w:t>
      </w:r>
    </w:p>
    <w:p>
      <w:pPr>
        <w:spacing w:after="0" w:line="215" w:lineRule="exact"/>
        <w:rPr>
          <w:rFonts w:ascii="Arial" w:cs="Arial" w:eastAsia="Arial" w:hAnsi="Arial"/>
          <w:sz w:val="20"/>
          <w:szCs w:val="20"/>
          <w:color w:val="auto"/>
        </w:rPr>
      </w:pPr>
    </w:p>
    <w:p>
      <w:pPr>
        <w:ind w:right="240" w:firstLine="1088"/>
        <w:spacing w:after="0" w:line="291" w:lineRule="auto"/>
        <w:tabs>
          <w:tab w:leader="none" w:pos="14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any time prior to May 1, 2023, the Company may on any one or more occasions redeem all or a part of the Notes, upon not less than 15 nor more than 60 days’ notice, at a redemption price equal to 100% of the principal amount of the Notes redeemed, plus the Applicable Premium as of, and accrued and unpaid interest, if any, to, but not including, the date of redemption, subject to the rights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369" w:right="239" w:bottom="1440" w:gutter="0" w:footer="0" w:header="0"/>
        </w:sectPr>
      </w:pPr>
    </w:p>
    <w:bookmarkStart w:id="32" w:name="page33"/>
    <w:bookmarkEnd w:id="32"/>
    <w:p>
      <w:pPr>
        <w:spacing w:after="0"/>
        <w:rPr>
          <w:sz w:val="20"/>
          <w:szCs w:val="20"/>
          <w:color w:val="auto"/>
        </w:rPr>
      </w:pPr>
      <w:r>
        <w:rPr>
          <w:rFonts w:ascii="Arial" w:cs="Arial" w:eastAsia="Arial" w:hAnsi="Arial"/>
          <w:sz w:val="20"/>
          <w:szCs w:val="20"/>
          <w:color w:val="auto"/>
        </w:rPr>
        <w:t>of Holders of Notes on the relevant record date to receive interest due on the relevant interest payment date.</w:t>
      </w:r>
    </w:p>
    <w:p>
      <w:pPr>
        <w:spacing w:after="0" w:line="216" w:lineRule="exact"/>
        <w:rPr>
          <w:sz w:val="20"/>
          <w:szCs w:val="20"/>
          <w:color w:val="auto"/>
        </w:rPr>
      </w:pPr>
    </w:p>
    <w:p>
      <w:pPr>
        <w:ind w:left="1480" w:hanging="392"/>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pursuant to Sections 3.03(a) and (b), the Notes will not be redeemable at the Company’s option prior to May 1, 2023.</w:t>
      </w:r>
    </w:p>
    <w:p>
      <w:pPr>
        <w:spacing w:after="0" w:line="238" w:lineRule="exact"/>
        <w:rPr>
          <w:rFonts w:ascii="Arial" w:cs="Arial" w:eastAsia="Arial" w:hAnsi="Arial"/>
          <w:sz w:val="18"/>
          <w:szCs w:val="18"/>
          <w:color w:val="auto"/>
        </w:rPr>
      </w:pPr>
    </w:p>
    <w:p>
      <w:pPr>
        <w:ind w:right="180" w:firstLine="1088"/>
        <w:spacing w:after="0" w:line="244" w:lineRule="auto"/>
        <w:tabs>
          <w:tab w:leader="none" w:pos="1491" w:val="left"/>
        </w:tabs>
        <w:numPr>
          <w:ilvl w:val="0"/>
          <w:numId w:val="40"/>
        </w:numPr>
        <w:rPr>
          <w:rFonts w:ascii="Arial" w:cs="Arial" w:eastAsia="Arial" w:hAnsi="Arial"/>
          <w:sz w:val="20"/>
          <w:szCs w:val="20"/>
          <w:color w:val="auto"/>
        </w:rPr>
      </w:pPr>
      <w:r>
        <w:rPr>
          <w:rFonts w:ascii="Arial" w:cs="Arial" w:eastAsia="Arial" w:hAnsi="Arial"/>
          <w:sz w:val="20"/>
          <w:szCs w:val="20"/>
          <w:color w:val="auto"/>
        </w:rPr>
        <w:t>On or after May 1, 2023, the Company may on any one or more occasions redeem all or a part of the Notes, upon not less than 15 nor more than 60 days’ notice, at the redemption prices (expressed as percentages of principal amount) set forth below, plus accrued and unpaid interest, if any, on the Notes redeemed, to, but not including, the applicable date of redemption, if redeemed during the twelve-month period beginning on May 1 of the years indicated below, subject to the rights of Holders of Notes on the relevant record date to receive interest due on the relevant interest payment date:</w:t>
      </w:r>
    </w:p>
    <w:p>
      <w:pPr>
        <w:spacing w:after="0" w:line="18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b w:val="1"/>
          <w:bCs w:val="1"/>
          <w:u w:val="single" w:color="auto"/>
          <w:color w:val="auto"/>
        </w:rPr>
        <w:t>Year</w:t>
      </w:r>
      <w:r>
        <w:rPr>
          <w:sz w:val="20"/>
          <w:szCs w:val="20"/>
          <w:color w:val="auto"/>
        </w:rPr>
        <w:tab/>
      </w:r>
      <w:r>
        <w:rPr>
          <w:rFonts w:ascii="Arial" w:cs="Arial" w:eastAsia="Arial" w:hAnsi="Arial"/>
          <w:sz w:val="16"/>
          <w:szCs w:val="16"/>
          <w:b w:val="1"/>
          <w:bCs w:val="1"/>
          <w:u w:val="single" w:color="auto"/>
          <w:color w:val="auto"/>
        </w:rPr>
        <w:t>Percentage</w:t>
      </w:r>
    </w:p>
    <w:p>
      <w:pPr>
        <w:spacing w:after="0" w:line="222" w:lineRule="exact"/>
        <w:rPr>
          <w:sz w:val="20"/>
          <w:szCs w:val="20"/>
          <w:color w:val="auto"/>
        </w:rPr>
      </w:pPr>
    </w:p>
    <w:p>
      <w:pPr>
        <w:ind w:left="660"/>
        <w:spacing w:after="0"/>
        <w:tabs>
          <w:tab w:leader="none" w:pos="5180" w:val="left"/>
        </w:tabs>
        <w:rPr>
          <w:sz w:val="20"/>
          <w:szCs w:val="20"/>
          <w:color w:val="auto"/>
        </w:rPr>
      </w:pPr>
      <w:r>
        <w:rPr>
          <w:rFonts w:ascii="Arial" w:cs="Arial" w:eastAsia="Arial" w:hAnsi="Arial"/>
          <w:sz w:val="20"/>
          <w:szCs w:val="20"/>
          <w:color w:val="auto"/>
        </w:rPr>
        <w:t>2023 . . . . . . . . . . . . . . . . . . . . . . . . . . . . . . . . . . . . . . . .</w:t>
      </w:r>
      <w:r>
        <w:rPr>
          <w:sz w:val="20"/>
          <w:szCs w:val="20"/>
          <w:color w:val="auto"/>
        </w:rPr>
        <w:tab/>
      </w:r>
      <w:r>
        <w:rPr>
          <w:rFonts w:ascii="Arial" w:cs="Arial" w:eastAsia="Arial" w:hAnsi="Arial"/>
          <w:sz w:val="18"/>
          <w:szCs w:val="18"/>
          <w:color w:val="auto"/>
        </w:rPr>
        <w:t>102.125%</w:t>
      </w:r>
    </w:p>
    <w:p>
      <w:pPr>
        <w:spacing w:after="0" w:line="15" w:lineRule="exact"/>
        <w:rPr>
          <w:sz w:val="20"/>
          <w:szCs w:val="20"/>
          <w:color w:val="auto"/>
        </w:rPr>
      </w:pPr>
    </w:p>
    <w:p>
      <w:pPr>
        <w:ind w:left="660"/>
        <w:spacing w:after="0"/>
        <w:tabs>
          <w:tab w:leader="none" w:pos="5180" w:val="left"/>
        </w:tabs>
        <w:rPr>
          <w:sz w:val="20"/>
          <w:szCs w:val="20"/>
          <w:color w:val="auto"/>
        </w:rPr>
      </w:pPr>
      <w:r>
        <w:rPr>
          <w:rFonts w:ascii="Arial" w:cs="Arial" w:eastAsia="Arial" w:hAnsi="Arial"/>
          <w:sz w:val="20"/>
          <w:szCs w:val="20"/>
          <w:color w:val="auto"/>
        </w:rPr>
        <w:t>2024 . . . . . . . . . . . . . . . . . . . . . . . . . . . . . . . . . . . . . . . .</w:t>
      </w:r>
      <w:r>
        <w:rPr>
          <w:sz w:val="20"/>
          <w:szCs w:val="20"/>
          <w:color w:val="auto"/>
        </w:rPr>
        <w:tab/>
      </w:r>
      <w:r>
        <w:rPr>
          <w:rFonts w:ascii="Arial" w:cs="Arial" w:eastAsia="Arial" w:hAnsi="Arial"/>
          <w:sz w:val="18"/>
          <w:szCs w:val="18"/>
          <w:color w:val="auto"/>
        </w:rPr>
        <w:t>101.417%</w:t>
      </w:r>
    </w:p>
    <w:p>
      <w:pPr>
        <w:ind w:left="660"/>
        <w:spacing w:after="0"/>
        <w:tabs>
          <w:tab w:leader="none" w:pos="5180" w:val="left"/>
        </w:tabs>
        <w:rPr>
          <w:sz w:val="20"/>
          <w:szCs w:val="20"/>
          <w:color w:val="auto"/>
        </w:rPr>
      </w:pPr>
      <w:r>
        <w:rPr>
          <w:rFonts w:ascii="Arial" w:cs="Arial" w:eastAsia="Arial" w:hAnsi="Arial"/>
          <w:sz w:val="20"/>
          <w:szCs w:val="20"/>
          <w:color w:val="auto"/>
        </w:rPr>
        <w:t>2025 . . . . . . . . . . . . . . . . . . . . . . . . . . . . . . . . . . . . . . . .</w:t>
      </w:r>
      <w:r>
        <w:rPr>
          <w:sz w:val="20"/>
          <w:szCs w:val="20"/>
          <w:color w:val="auto"/>
        </w:rPr>
        <w:tab/>
      </w:r>
      <w:r>
        <w:rPr>
          <w:rFonts w:ascii="Arial" w:cs="Arial" w:eastAsia="Arial" w:hAnsi="Arial"/>
          <w:sz w:val="18"/>
          <w:szCs w:val="18"/>
          <w:color w:val="auto"/>
        </w:rPr>
        <w:t>100.708%</w:t>
      </w:r>
    </w:p>
    <w:p>
      <w:pPr>
        <w:ind w:left="660"/>
        <w:spacing w:after="0"/>
        <w:tabs>
          <w:tab w:leader="none" w:pos="5200" w:val="left"/>
        </w:tabs>
        <w:rPr>
          <w:sz w:val="20"/>
          <w:szCs w:val="20"/>
          <w:color w:val="auto"/>
        </w:rPr>
      </w:pPr>
      <w:r>
        <w:rPr>
          <w:rFonts w:ascii="Arial" w:cs="Arial" w:eastAsia="Arial" w:hAnsi="Arial"/>
          <w:sz w:val="20"/>
          <w:szCs w:val="20"/>
          <w:color w:val="auto"/>
        </w:rPr>
        <w:t>2026 and thereafter . . . . . . . . . . . . . . . . . . . . . . . . . . . .</w:t>
      </w:r>
      <w:r>
        <w:rPr>
          <w:sz w:val="20"/>
          <w:szCs w:val="20"/>
          <w:color w:val="auto"/>
        </w:rPr>
        <w:tab/>
      </w:r>
      <w:r>
        <w:rPr>
          <w:rFonts w:ascii="Arial" w:cs="Arial" w:eastAsia="Arial" w:hAnsi="Arial"/>
          <w:sz w:val="16"/>
          <w:szCs w:val="16"/>
          <w:color w:val="auto"/>
        </w:rPr>
        <w:t>100.000%</w:t>
      </w:r>
    </w:p>
    <w:p>
      <w:pPr>
        <w:spacing w:after="0" w:line="200"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Unless the Company defaults in the payment of the redemption price, interest will cease to accrue on the Notes or portions thereof called for redemption on the applicable redemption date.</w:t>
      </w:r>
    </w:p>
    <w:p>
      <w:pPr>
        <w:spacing w:after="0" w:line="177" w:lineRule="exact"/>
        <w:rPr>
          <w:sz w:val="20"/>
          <w:szCs w:val="20"/>
          <w:color w:val="auto"/>
        </w:rPr>
      </w:pPr>
    </w:p>
    <w:p>
      <w:pPr>
        <w:jc w:val="both"/>
        <w:ind w:firstLine="656"/>
        <w:spacing w:after="0" w:line="246" w:lineRule="auto"/>
        <w:tabs>
          <w:tab w:leader="none" w:pos="1061"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If less than all of the Notes are to be redeemed at any time, the Trustee will select Notes for redemption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or, in the case of Global Notes, based on a method that most nearly approximates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selection as the Trustee deems fair and appropriate and in accordance with the applicable procedures of the Depository unless otherwise required by law or applicable stock exchange or depositary requirements.</w:t>
      </w:r>
    </w:p>
    <w:p>
      <w:pPr>
        <w:spacing w:after="0" w:line="191" w:lineRule="exact"/>
        <w:rPr>
          <w:rFonts w:ascii="Arial" w:cs="Arial" w:eastAsia="Arial" w:hAnsi="Arial"/>
          <w:sz w:val="20"/>
          <w:szCs w:val="20"/>
          <w:color w:val="auto"/>
        </w:rPr>
      </w:pPr>
    </w:p>
    <w:p>
      <w:pPr>
        <w:ind w:left="1040" w:hanging="384"/>
        <w:spacing w:after="0"/>
        <w:tabs>
          <w:tab w:leader="none" w:pos="10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 Notes of $2,000 or less shall be redeemed in part.</w:t>
      </w:r>
    </w:p>
    <w:p>
      <w:pPr>
        <w:spacing w:after="0" w:line="215" w:lineRule="exact"/>
        <w:rPr>
          <w:rFonts w:ascii="Arial" w:cs="Arial" w:eastAsia="Arial" w:hAnsi="Arial"/>
          <w:sz w:val="20"/>
          <w:szCs w:val="20"/>
          <w:color w:val="auto"/>
        </w:rPr>
      </w:pPr>
    </w:p>
    <w:p>
      <w:pPr>
        <w:ind w:firstLine="656"/>
        <w:spacing w:after="0" w:line="260" w:lineRule="auto"/>
        <w:tabs>
          <w:tab w:leader="none" w:pos="11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Any redemption pursuant to this Section 3.03 shall be made pursuant to the provisions of Sections 3.01 and 3.02 hereof and Sections 3.1, 3.3, 3.5 and 3.6 of the Original Indenture.</w:t>
      </w:r>
    </w:p>
    <w:p>
      <w:pPr>
        <w:spacing w:after="0" w:line="176" w:lineRule="exact"/>
        <w:rPr>
          <w:rFonts w:ascii="Arial" w:cs="Arial" w:eastAsia="Arial" w:hAnsi="Arial"/>
          <w:sz w:val="20"/>
          <w:szCs w:val="20"/>
          <w:color w:val="auto"/>
        </w:rPr>
      </w:pPr>
    </w:p>
    <w:p>
      <w:pPr>
        <w:jc w:val="both"/>
        <w:ind w:firstLine="656"/>
        <w:spacing w:after="0" w:line="258" w:lineRule="auto"/>
        <w:tabs>
          <w:tab w:leader="none" w:pos="1072" w:val="left"/>
        </w:tabs>
        <w:numPr>
          <w:ilvl w:val="0"/>
          <w:numId w:val="41"/>
        </w:numPr>
        <w:rPr>
          <w:rFonts w:ascii="Arial" w:cs="Arial" w:eastAsia="Arial" w:hAnsi="Arial"/>
          <w:sz w:val="19"/>
          <w:szCs w:val="19"/>
          <w:color w:val="auto"/>
        </w:rPr>
      </w:pPr>
      <w:r>
        <w:rPr>
          <w:rFonts w:ascii="Arial" w:cs="Arial" w:eastAsia="Arial" w:hAnsi="Arial"/>
          <w:sz w:val="19"/>
          <w:szCs w:val="19"/>
          <w:color w:val="auto"/>
        </w:rPr>
        <w:t>Notwithstanding the foregoing, in connection with any tender offer for the Notes, including a Change of Control Offer, if Holders of not less than 90% in aggregate principal amount of the outstanding notes validly tender and do not withdraw such notes in such tender offer and the Company or any third party making such tender offer in lieu of the Company, purchases all of the Notes validly tendered and not withdrawn by such holders, the Company or such third party will have the right upon not less than 15 nor more than 60 days’ prior notice, given not more than 15 days following such purchase date, to redeem all notes that remain outstanding following such purchase at a redemption price equal to the price offered to each other holder in such tender offer plus, to the extent not included in the tender offer payment, accrued and unpaid interest, if any, thereon, to, but not including, the date of such redemption.</w:t>
      </w:r>
    </w:p>
    <w:p>
      <w:pPr>
        <w:spacing w:after="0" w:line="179" w:lineRule="exact"/>
        <w:rPr>
          <w:rFonts w:ascii="Arial" w:cs="Arial" w:eastAsia="Arial" w:hAnsi="Arial"/>
          <w:sz w:val="19"/>
          <w:szCs w:val="19"/>
          <w:color w:val="auto"/>
        </w:rPr>
      </w:pPr>
    </w:p>
    <w:p>
      <w:pPr>
        <w:jc w:val="both"/>
        <w:ind w:firstLine="656"/>
        <w:spacing w:after="0" w:line="243" w:lineRule="auto"/>
        <w:tabs>
          <w:tab w:leader="none" w:pos="1042" w:val="left"/>
        </w:tabs>
        <w:numPr>
          <w:ilvl w:val="0"/>
          <w:numId w:val="41"/>
        </w:numPr>
        <w:rPr>
          <w:rFonts w:ascii="Arial" w:cs="Arial" w:eastAsia="Arial" w:hAnsi="Arial"/>
          <w:sz w:val="20"/>
          <w:szCs w:val="20"/>
          <w:color w:val="auto"/>
        </w:rPr>
      </w:pPr>
      <w:r>
        <w:rPr>
          <w:rFonts w:ascii="Arial" w:cs="Arial" w:eastAsia="Arial" w:hAnsi="Arial"/>
          <w:sz w:val="20"/>
          <w:szCs w:val="20"/>
          <w:color w:val="auto"/>
        </w:rPr>
        <w:t>If any Note is to be redeemed in part only, the notice of redemption that relates to that Note will state the portion of the principal amount of that Note that is to be redeemed. No notes of $2,000 or less in principal amount will be redeemed in part. A new Note in principal amount equal to the unredeemed portion of the original Note will be issued in the name of the Holder of Notes upon cancellation of the original Note. Notes called for redemption become due on the date fixed for redemption, unless such redemption is conditioned on the happening of a future event. On the redemption date, interest ceases to accrue on Notes or portions of Notes redeemed unless the Company defaults in paying the applicable redemption price.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366" w:right="239" w:bottom="1440" w:gutter="0" w:footer="0" w:header="0"/>
        </w:sectPr>
      </w:pPr>
    </w:p>
    <w:bookmarkStart w:id="33" w:name="page34"/>
    <w:bookmarkEnd w:id="33"/>
    <w:p>
      <w:pPr>
        <w:spacing w:after="0"/>
        <w:tabs>
          <w:tab w:leader="none" w:pos="1160" w:val="left"/>
        </w:tabs>
        <w:rPr>
          <w:sz w:val="20"/>
          <w:szCs w:val="20"/>
          <w:color w:val="auto"/>
        </w:rPr>
      </w:pPr>
      <w:r>
        <w:rPr>
          <w:rFonts w:ascii="Arial" w:cs="Arial" w:eastAsia="Arial" w:hAnsi="Arial"/>
          <w:sz w:val="20"/>
          <w:szCs w:val="20"/>
          <w:color w:val="auto"/>
        </w:rPr>
        <w:t>Section 3.04</w:t>
      </w:r>
      <w:r>
        <w:rPr>
          <w:sz w:val="20"/>
          <w:szCs w:val="20"/>
          <w:color w:val="auto"/>
        </w:rPr>
        <w:tab/>
      </w:r>
      <w:r>
        <w:rPr>
          <w:rFonts w:ascii="Arial" w:cs="Arial" w:eastAsia="Arial" w:hAnsi="Arial"/>
          <w:sz w:val="18"/>
          <w:szCs w:val="18"/>
          <w:i w:val="1"/>
          <w:iCs w:val="1"/>
          <w:color w:val="auto"/>
        </w:rPr>
        <w:t>[RESERVED].</w:t>
      </w:r>
    </w:p>
    <w:p>
      <w:pPr>
        <w:spacing w:after="0" w:line="216"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3.05</w:t>
      </w:r>
      <w:r>
        <w:rPr>
          <w:sz w:val="20"/>
          <w:szCs w:val="20"/>
          <w:color w:val="auto"/>
        </w:rPr>
        <w:tab/>
      </w:r>
      <w:r>
        <w:rPr>
          <w:rFonts w:ascii="Arial" w:cs="Arial" w:eastAsia="Arial" w:hAnsi="Arial"/>
          <w:sz w:val="16"/>
          <w:szCs w:val="16"/>
          <w:i w:val="1"/>
          <w:iCs w:val="1"/>
          <w:color w:val="auto"/>
        </w:rPr>
        <w:t>Mandatory Redemption.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not required to make mandatory redemption or sinking fund payments with respect to the Notes.</w:t>
      </w:r>
    </w:p>
    <w:p>
      <w:pPr>
        <w:spacing w:after="0" w:line="219" w:lineRule="exact"/>
        <w:rPr>
          <w:sz w:val="20"/>
          <w:szCs w:val="20"/>
          <w:color w:val="auto"/>
        </w:rPr>
      </w:pPr>
    </w:p>
    <w:p>
      <w:pPr>
        <w:jc w:val="center"/>
        <w:ind w:right="200"/>
        <w:spacing w:after="0"/>
        <w:tabs>
          <w:tab w:leader="none" w:pos="16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19"/>
          <w:szCs w:val="19"/>
          <w:b w:val="1"/>
          <w:bCs w:val="1"/>
          <w:color w:val="auto"/>
        </w:rPr>
        <w:t>COVENANTS</w:t>
      </w:r>
    </w:p>
    <w:p>
      <w:pPr>
        <w:spacing w:after="0" w:line="230"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4.01</w:t>
      </w:r>
      <w:r>
        <w:rPr>
          <w:sz w:val="20"/>
          <w:szCs w:val="20"/>
          <w:color w:val="auto"/>
        </w:rPr>
        <w:tab/>
      </w:r>
      <w:r>
        <w:rPr>
          <w:rFonts w:ascii="Arial" w:cs="Arial" w:eastAsia="Arial" w:hAnsi="Arial"/>
          <w:sz w:val="16"/>
          <w:szCs w:val="16"/>
          <w:i w:val="1"/>
          <w:iCs w:val="1"/>
          <w:color w:val="auto"/>
        </w:rPr>
        <w:t>Reports.</w:t>
      </w:r>
    </w:p>
    <w:p>
      <w:pPr>
        <w:spacing w:after="0" w:line="216" w:lineRule="exact"/>
        <w:rPr>
          <w:sz w:val="20"/>
          <w:szCs w:val="20"/>
          <w:color w:val="auto"/>
        </w:rPr>
      </w:pPr>
    </w:p>
    <w:p>
      <w:pPr>
        <w:jc w:val="both"/>
        <w:ind w:firstLine="656"/>
        <w:spacing w:after="0" w:line="243" w:lineRule="auto"/>
        <w:tabs>
          <w:tab w:leader="none" w:pos="1048" w:val="left"/>
        </w:tabs>
        <w:numPr>
          <w:ilvl w:val="0"/>
          <w:numId w:val="42"/>
        </w:numPr>
        <w:rPr>
          <w:rFonts w:ascii="Arial" w:cs="Arial" w:eastAsia="Arial" w:hAnsi="Arial"/>
          <w:sz w:val="20"/>
          <w:szCs w:val="20"/>
          <w:color w:val="auto"/>
        </w:rPr>
      </w:pPr>
      <w:r>
        <w:rPr>
          <w:rFonts w:ascii="Arial" w:cs="Arial" w:eastAsia="Arial" w:hAnsi="Arial"/>
          <w:sz w:val="20"/>
          <w:szCs w:val="20"/>
          <w:color w:val="auto"/>
        </w:rPr>
        <w:t>Whether or not required by the rules and regulations of the SEC, so long as any Notes are outstanding, the Company shall provide to the Trustee copies of the annual reports and of the information, documents and other reports (or copies of such portions of any of the foregoing as the SEC may from time to time by rules and regulations prescribe) that the Company would be required to file with the SEC pursuant to Section 13 or Section 15(d) of the Exchange Act, subject to the next succeeding paragraph. The company shall be deemed to have complied with the previous sentence to the extent that such information, documents and reports are filed with the SEC via EDGAR, or any successor electronic delivery procedure.</w:t>
      </w:r>
    </w:p>
    <w:p>
      <w:pPr>
        <w:spacing w:after="0" w:line="196" w:lineRule="exact"/>
        <w:rPr>
          <w:rFonts w:ascii="Arial" w:cs="Arial" w:eastAsia="Arial" w:hAnsi="Arial"/>
          <w:sz w:val="20"/>
          <w:szCs w:val="20"/>
          <w:color w:val="auto"/>
        </w:rPr>
      </w:pPr>
    </w:p>
    <w:p>
      <w:pPr>
        <w:jc w:val="both"/>
        <w:ind w:firstLine="656"/>
        <w:spacing w:after="0" w:line="269" w:lineRule="auto"/>
        <w:tabs>
          <w:tab w:leader="none" w:pos="10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at any time, the Company is no longer subject to the periodic reporting requirements of the Exchange Act for any reason, with respect to the information, documents and reports provided for in the immediately preceding paragraph: (i) with respect to current reports on Form 8-K under the SEC’s rules and regulations, the Company shall be required to provide only current reports containing substantially all of the information that would be required to be filed in a current report on Form 8-K under the Exchange Act on the Issue Date pursuant to Sections 1, 2 and 4, Items 5.01, 5.02(a)-(c) (other than compensation information) and Item 9.01 (only to the extent relating to any of the foregoing) of Form 8-K,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current reports (or Items thereof or all or a portion of the financial statements that would have otherwise been required thereby) will be required to be provided (or included) if the Company determines in its good faith judgment that such event (or information) is not material to Holders of the notes or to the business, assets, operations or financial position of the Company and its Subsidiaries, taken as a whole; (ii) such information, documents and reports shall, in each case, be subject to exceptions and exclusions consistent with the presentation of financial and other information in this offering memorandum, including with respect to the omission of financial statements or financial information required by Rules 3-09 or 3-10 under Regulation S-X promulgated by the SEC (or any successor provision), Compensation Discussion and Analysis otherwise required by Regulation S-K Item 402(b), and information otherwise required by Section 404 of the Sarbanes-Oxley Act of 2002; (iii) trade secrets and other confidential information that is competitively sensitive in the good faith and reasonable determination of the Company may be excluded from any information, documents and reports; (iv) in no event will such information, documents and reports will contain compensation or beneficial ownership information; and (v) in no event will such information, documents and reports be required to comply with Regulation G under the Exchange Act or Item 10(e) of Regulation S-K promulgated by the SEC with respect to any non-GAAP financial measures contained therein.</w:t>
      </w:r>
    </w:p>
    <w:p>
      <w:pPr>
        <w:spacing w:after="0" w:line="175" w:lineRule="exact"/>
        <w:rPr>
          <w:rFonts w:ascii="Arial" w:cs="Arial" w:eastAsia="Arial" w:hAnsi="Arial"/>
          <w:sz w:val="18"/>
          <w:szCs w:val="18"/>
          <w:color w:val="auto"/>
        </w:rPr>
      </w:pPr>
    </w:p>
    <w:p>
      <w:pPr>
        <w:jc w:val="both"/>
        <w:ind w:firstLine="656"/>
        <w:spacing w:after="0" w:line="243" w:lineRule="auto"/>
        <w:tabs>
          <w:tab w:leader="none" w:pos="1102" w:val="left"/>
        </w:tabs>
        <w:numPr>
          <w:ilvl w:val="0"/>
          <w:numId w:val="42"/>
        </w:numPr>
        <w:rPr>
          <w:rFonts w:ascii="Arial" w:cs="Arial" w:eastAsia="Arial" w:hAnsi="Arial"/>
          <w:sz w:val="20"/>
          <w:szCs w:val="20"/>
          <w:color w:val="auto"/>
        </w:rPr>
      </w:pPr>
      <w:r>
        <w:rPr>
          <w:rFonts w:ascii="Arial" w:cs="Arial" w:eastAsia="Arial" w:hAnsi="Arial"/>
          <w:sz w:val="20"/>
          <w:szCs w:val="20"/>
          <w:color w:val="auto"/>
        </w:rPr>
        <w:t>If any direct or indirect parent company of the Company becomes a Guarantor, the Company may satisfy its obligations in this Section 4.01 with respect to financial information relating to the Company by furnishing financial information relating to such other parent Guarantor; provided that if and so long as such parent Guarantor shall have Independent Assets or Operations (as defined below), the same is accompanied by consolidating information that explains in reasonable detail the differences between the information relating to such parent Guarantor, on the one hand, and the information relating to the Company and its Subsidiaries on a standalone basis, on the other hand. “Independent Assets or Operations” means,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366" w:right="239" w:bottom="1440" w:gutter="0" w:footer="0" w:header="0"/>
        </w:sectPr>
      </w:pPr>
    </w:p>
    <w:bookmarkStart w:id="34" w:name="page35"/>
    <w:bookmarkEnd w:id="34"/>
    <w:p>
      <w:pPr>
        <w:jc w:val="both"/>
        <w:spacing w:after="0" w:line="250" w:lineRule="auto"/>
        <w:rPr>
          <w:sz w:val="20"/>
          <w:szCs w:val="20"/>
          <w:color w:val="auto"/>
        </w:rPr>
      </w:pPr>
      <w:r>
        <w:rPr>
          <w:rFonts w:ascii="Arial" w:cs="Arial" w:eastAsia="Arial" w:hAnsi="Arial"/>
          <w:sz w:val="20"/>
          <w:szCs w:val="20"/>
          <w:color w:val="auto"/>
        </w:rPr>
        <w:t>with respect to any such parent Guarantor, that such parent Guarantor’s total assets or revenues, determined in accordance with GAAP and as shown on the most recent financial statements of such parent Guarantor, is more than 3.0% of such parent Guarantor’s corresponding consolidated amount.</w:t>
      </w:r>
    </w:p>
    <w:p>
      <w:pPr>
        <w:spacing w:after="0" w:line="186" w:lineRule="exact"/>
        <w:rPr>
          <w:sz w:val="20"/>
          <w:szCs w:val="20"/>
          <w:color w:val="auto"/>
        </w:rPr>
      </w:pPr>
    </w:p>
    <w:p>
      <w:pPr>
        <w:jc w:val="both"/>
        <w:ind w:firstLine="656"/>
        <w:spacing w:after="0" w:line="244" w:lineRule="auto"/>
        <w:tabs>
          <w:tab w:leader="none" w:pos="1153" w:val="left"/>
        </w:tabs>
        <w:numPr>
          <w:ilvl w:val="0"/>
          <w:numId w:val="43"/>
        </w:numPr>
        <w:rPr>
          <w:rFonts w:ascii="Arial" w:cs="Arial" w:eastAsia="Arial" w:hAnsi="Arial"/>
          <w:sz w:val="20"/>
          <w:szCs w:val="20"/>
          <w:color w:val="auto"/>
        </w:rPr>
      </w:pPr>
      <w:r>
        <w:rPr>
          <w:rFonts w:ascii="Arial" w:cs="Arial" w:eastAsia="Arial" w:hAnsi="Arial"/>
          <w:sz w:val="20"/>
          <w:szCs w:val="20"/>
          <w:color w:val="auto"/>
        </w:rPr>
        <w:t>Notwithstanding anything herein to the contrary, in the event that the Company fails to comply with its obligation to file or provide such information, documents and reports as required hereunder, the Company will be deemed to have cured such Default with respect to the Notes for purposes of Section 6.01(4) upon the filing or provision of all such information, documents and reports required hereunder prior to the expiration of 90 days after written notice to the Company of such failure from the Trustee or the Holders of at least 25% of the principal amount of the Notes.</w:t>
      </w:r>
    </w:p>
    <w:p>
      <w:pPr>
        <w:spacing w:after="0" w:line="194" w:lineRule="exact"/>
        <w:rPr>
          <w:rFonts w:ascii="Arial" w:cs="Arial" w:eastAsia="Arial" w:hAnsi="Arial"/>
          <w:sz w:val="20"/>
          <w:szCs w:val="20"/>
          <w:color w:val="auto"/>
        </w:rPr>
      </w:pPr>
    </w:p>
    <w:p>
      <w:pPr>
        <w:jc w:val="both"/>
        <w:ind w:firstLine="656"/>
        <w:spacing w:after="0" w:line="244" w:lineRule="auto"/>
        <w:tabs>
          <w:tab w:leader="none" w:pos="1088"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Trustee shall have no responsibility whatsoever to monitor whether any filing or posting contemplated by this Section 4.01 has occurred. Delivery of any reports, information or documents pursuant to this Section 4.01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95"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4.02</w:t>
      </w:r>
      <w:r>
        <w:rPr>
          <w:sz w:val="20"/>
          <w:szCs w:val="20"/>
          <w:color w:val="auto"/>
        </w:rPr>
        <w:tab/>
      </w:r>
      <w:r>
        <w:rPr>
          <w:rFonts w:ascii="Arial" w:cs="Arial" w:eastAsia="Arial" w:hAnsi="Arial"/>
          <w:sz w:val="18"/>
          <w:szCs w:val="18"/>
          <w:i w:val="1"/>
          <w:iCs w:val="1"/>
          <w:color w:val="auto"/>
        </w:rPr>
        <w:t>[RESERVED].</w:t>
      </w:r>
    </w:p>
    <w:p>
      <w:pPr>
        <w:spacing w:after="0" w:line="216"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4.03</w:t>
      </w:r>
      <w:r>
        <w:rPr>
          <w:sz w:val="20"/>
          <w:szCs w:val="20"/>
          <w:color w:val="auto"/>
        </w:rPr>
        <w:tab/>
      </w:r>
      <w:r>
        <w:rPr>
          <w:rFonts w:ascii="Arial" w:cs="Arial" w:eastAsia="Arial" w:hAnsi="Arial"/>
          <w:sz w:val="16"/>
          <w:szCs w:val="16"/>
          <w:i w:val="1"/>
          <w:iCs w:val="1"/>
          <w:color w:val="auto"/>
        </w:rPr>
        <w:t>Liens.</w:t>
      </w:r>
    </w:p>
    <w:p>
      <w:pPr>
        <w:spacing w:after="0" w:line="216" w:lineRule="exact"/>
        <w:rPr>
          <w:sz w:val="20"/>
          <w:szCs w:val="20"/>
          <w:color w:val="auto"/>
        </w:rPr>
      </w:pPr>
    </w:p>
    <w:p>
      <w:pPr>
        <w:ind w:right="80" w:firstLine="1088"/>
        <w:spacing w:after="0" w:line="260" w:lineRule="auto"/>
        <w:tabs>
          <w:tab w:leader="none" w:pos="14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Except as permitted under Section 4.05, the Company will not, and will not permit any of its Subsidiaries to, create, incur, assume or otherwise cause or suffer to exist or become effective any Lien of any kind (other than Permitted Liens) securing Indebtedness upon any of their property or assets, now owned or hereafter acquired, unless (1) in the case of any Lien securing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Indebtedness, the Notes are secured by a Lien that is senior in priority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such Lien and (2) in the case of any Lien securing subordinated Indebtedness, the Notes are secured by a Lien that is senior in priority to such Lien.</w:t>
      </w:r>
    </w:p>
    <w:p>
      <w:pPr>
        <w:spacing w:after="0" w:line="180" w:lineRule="exact"/>
        <w:rPr>
          <w:rFonts w:ascii="Arial" w:cs="Arial" w:eastAsia="Arial" w:hAnsi="Arial"/>
          <w:sz w:val="19"/>
          <w:szCs w:val="19"/>
          <w:color w:val="auto"/>
        </w:rPr>
      </w:pPr>
    </w:p>
    <w:p>
      <w:pPr>
        <w:ind w:right="320" w:firstLine="1088"/>
        <w:spacing w:after="0" w:line="250" w:lineRule="auto"/>
        <w:tabs>
          <w:tab w:leader="none" w:pos="1491"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Any Lien created for the benefit of the Holders of the Notes pursuant to Section 4.03(a) will provide by its terms that any such Lien shall be automatically and unconditionally released and discharged upon the release and discharge of the Lien on such other Indebtedness, without any further action required of the Company, any Subsidiary or the Trustee.</w:t>
      </w:r>
    </w:p>
    <w:p>
      <w:pPr>
        <w:spacing w:after="0" w:line="186" w:lineRule="exact"/>
        <w:rPr>
          <w:rFonts w:ascii="Arial" w:cs="Arial" w:eastAsia="Arial" w:hAnsi="Arial"/>
          <w:sz w:val="20"/>
          <w:szCs w:val="20"/>
          <w:color w:val="auto"/>
        </w:rPr>
      </w:pPr>
    </w:p>
    <w:p>
      <w:pPr>
        <w:jc w:val="both"/>
        <w:ind w:firstLine="1088"/>
        <w:spacing w:after="0" w:line="246" w:lineRule="auto"/>
        <w:tabs>
          <w:tab w:leader="none" w:pos="14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expansion of Liens by virtue of accrual of interest, the accretion of accreted value, the payment of interest or dividends in the form of additional Indebtedness, amortization of original issue discount and increases in the amount of Indebtedness outstanding solely as a result of fluctuations in the exchange rate of currencies or increases in the value of property securing Indebtedness will not be deemed to be an incurrence of Liens for purposes of this Section 4.03.</w:t>
      </w:r>
    </w:p>
    <w:p>
      <w:pPr>
        <w:spacing w:after="0" w:line="191" w:lineRule="exact"/>
        <w:rPr>
          <w:rFonts w:ascii="Arial" w:cs="Arial" w:eastAsia="Arial" w:hAnsi="Arial"/>
          <w:sz w:val="20"/>
          <w:szCs w:val="20"/>
          <w:color w:val="auto"/>
        </w:rPr>
      </w:pPr>
    </w:p>
    <w:p>
      <w:pPr>
        <w:ind w:right="80" w:firstLine="1088"/>
        <w:spacing w:after="0" w:line="276" w:lineRule="auto"/>
        <w:tabs>
          <w:tab w:leader="none" w:pos="1491"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purposes of determining compliance with this Section 4.03, (i) a Lien need not be incurred solely by reference to one category of Permitted Liens but may be incurred under any combination of such categories (including in part under one such category and in part under any other such category) and (ii) in the event that a Lien (or any portion thereof) meets the criteria of one or more of such categories of Permitted Liens or may be incurred in compliance with the terms described under Section 4.03, the Company shall, in its sole discretion, classify or may subsequently reclassify at any time such Lien (or any portion thereof) in any manner that complies with this Section 4.03 (including by complying with the terms described under Section 4.05) and the definition of Permitted Liens.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366" w:right="239" w:bottom="1440" w:gutter="0" w:footer="0" w:header="0"/>
        </w:sectPr>
      </w:pPr>
    </w:p>
    <w:bookmarkStart w:id="35" w:name="page36"/>
    <w:bookmarkEnd w:id="35"/>
    <w:p>
      <w:pPr>
        <w:spacing w:after="0"/>
        <w:tabs>
          <w:tab w:leader="none" w:pos="1160" w:val="left"/>
        </w:tabs>
        <w:rPr>
          <w:sz w:val="20"/>
          <w:szCs w:val="20"/>
          <w:color w:val="auto"/>
        </w:rPr>
      </w:pPr>
      <w:r>
        <w:rPr>
          <w:rFonts w:ascii="Arial" w:cs="Arial" w:eastAsia="Arial" w:hAnsi="Arial"/>
          <w:sz w:val="20"/>
          <w:szCs w:val="20"/>
          <w:color w:val="auto"/>
        </w:rPr>
        <w:t>Section 4.04</w:t>
      </w:r>
      <w:r>
        <w:rPr>
          <w:sz w:val="20"/>
          <w:szCs w:val="20"/>
          <w:color w:val="auto"/>
        </w:rPr>
        <w:tab/>
      </w:r>
      <w:r>
        <w:rPr>
          <w:rFonts w:ascii="Arial" w:cs="Arial" w:eastAsia="Arial" w:hAnsi="Arial"/>
          <w:sz w:val="18"/>
          <w:szCs w:val="18"/>
          <w:i w:val="1"/>
          <w:iCs w:val="1"/>
          <w:color w:val="auto"/>
        </w:rPr>
        <w:t>Offer to Repurchase Upon Change of Control Triggering Event.</w:t>
      </w:r>
    </w:p>
    <w:p>
      <w:pPr>
        <w:spacing w:after="0" w:line="216" w:lineRule="exact"/>
        <w:rPr>
          <w:sz w:val="20"/>
          <w:szCs w:val="20"/>
          <w:color w:val="auto"/>
        </w:rPr>
      </w:pPr>
    </w:p>
    <w:p>
      <w:pPr>
        <w:ind w:right="20" w:firstLine="1088"/>
        <w:spacing w:after="0" w:line="269"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 Change of Control occurs and is accompanied by a Ratings Events (together, a “</w:t>
      </w:r>
      <w:r>
        <w:rPr>
          <w:rFonts w:ascii="Arial" w:cs="Arial" w:eastAsia="Arial" w:hAnsi="Arial"/>
          <w:sz w:val="18"/>
          <w:szCs w:val="18"/>
          <w:b w:val="1"/>
          <w:bCs w:val="1"/>
          <w:i w:val="1"/>
          <w:iCs w:val="1"/>
          <w:color w:val="auto"/>
        </w:rPr>
        <w:t>Change of Control Triggering Event</w:t>
      </w:r>
      <w:r>
        <w:rPr>
          <w:rFonts w:ascii="Arial" w:cs="Arial" w:eastAsia="Arial" w:hAnsi="Arial"/>
          <w:sz w:val="18"/>
          <w:szCs w:val="18"/>
          <w:color w:val="auto"/>
        </w:rPr>
        <w:t>”), each Holder of Notes will have the right to require the Company to repurchase all or any part (equal to $2,000 or an integral multiple of $1,000 in excess thereof) of that Holder’s Notes pursuant to an offer by the Company (a “</w:t>
      </w:r>
      <w:r>
        <w:rPr>
          <w:rFonts w:ascii="Arial" w:cs="Arial" w:eastAsia="Arial" w:hAnsi="Arial"/>
          <w:sz w:val="18"/>
          <w:szCs w:val="18"/>
          <w:b w:val="1"/>
          <w:bCs w:val="1"/>
          <w:i w:val="1"/>
          <w:iCs w:val="1"/>
          <w:color w:val="auto"/>
        </w:rPr>
        <w:t>Change of Control Offer</w:t>
      </w:r>
      <w:r>
        <w:rPr>
          <w:rFonts w:ascii="Arial" w:cs="Arial" w:eastAsia="Arial" w:hAnsi="Arial"/>
          <w:sz w:val="18"/>
          <w:szCs w:val="18"/>
          <w:color w:val="auto"/>
        </w:rPr>
        <w:t>”) on the terms set forth in this Supplemental Indenture. In the Change of Control Offer, the Company will offer a payment in cash equal to 101% of the aggregate principal amount of Notes repurchased, plus accrued and unpaid interest, if any, on the Notes repurchased to, but not including, the date of purchase (the “</w:t>
      </w:r>
      <w:r>
        <w:rPr>
          <w:rFonts w:ascii="Arial" w:cs="Arial" w:eastAsia="Arial" w:hAnsi="Arial"/>
          <w:sz w:val="18"/>
          <w:szCs w:val="18"/>
          <w:b w:val="1"/>
          <w:bCs w:val="1"/>
          <w:i w:val="1"/>
          <w:iCs w:val="1"/>
          <w:color w:val="auto"/>
        </w:rPr>
        <w:t>Change of Control Payment</w:t>
      </w:r>
      <w:r>
        <w:rPr>
          <w:rFonts w:ascii="Arial" w:cs="Arial" w:eastAsia="Arial" w:hAnsi="Arial"/>
          <w:sz w:val="18"/>
          <w:szCs w:val="18"/>
          <w:color w:val="auto"/>
        </w:rPr>
        <w:t>”), subject to the rights of Holders of Notes on the relevant record date to receive interest due on the relevant interest payment date. Within thirty days following any Change of Control Triggering Event, the Company will deliver electronically in pdf format or mail a notice to each Holder with a copy to the Trustee or otherwise in accordance with the procedures of DTC describing the transaction or transactions that constitute the Change of Control Triggering Event and offering to repurchase Notes on the date specified in the notice, which date will be no earlier than 30 days and no later than 60 days from the date such notice is mailed or otherwise delivered (a “</w:t>
      </w:r>
      <w:r>
        <w:rPr>
          <w:rFonts w:ascii="Arial" w:cs="Arial" w:eastAsia="Arial" w:hAnsi="Arial"/>
          <w:sz w:val="18"/>
          <w:szCs w:val="18"/>
          <w:b w:val="1"/>
          <w:bCs w:val="1"/>
          <w:i w:val="1"/>
          <w:iCs w:val="1"/>
          <w:color w:val="auto"/>
        </w:rPr>
        <w:t>Change of Control Payment Date</w:t>
      </w:r>
      <w:r>
        <w:rPr>
          <w:rFonts w:ascii="Arial" w:cs="Arial" w:eastAsia="Arial" w:hAnsi="Arial"/>
          <w:sz w:val="18"/>
          <w:szCs w:val="18"/>
          <w:color w:val="auto"/>
        </w:rPr>
        <w:t>”), pursuant to the procedures required by the Indenture and described in such notice. The Company will comply with the requirements of Rule 14e-1 under the Exchange Act and any other securities laws and regulations thereunder to the extent those laws and regulations are applicable in connection with the repurchase of the Notes as a result of a Change of Control Offer. To the extent that the provisions of any securities laws or regulations conflict with the Change of Control Offer provisions of the Indenture, the Company will comply with the applicable securities laws and regulations and will not be deemed to have breached its obligations under the Change of Control Offer provisions of the Indenture by virtue of such compliance.</w:t>
      </w:r>
    </w:p>
    <w:p>
      <w:pPr>
        <w:spacing w:after="0" w:line="177" w:lineRule="exact"/>
        <w:rPr>
          <w:rFonts w:ascii="Arial" w:cs="Arial" w:eastAsia="Arial" w:hAnsi="Arial"/>
          <w:sz w:val="18"/>
          <w:szCs w:val="18"/>
          <w:color w:val="auto"/>
        </w:rPr>
      </w:pPr>
    </w:p>
    <w:p>
      <w:pPr>
        <w:ind w:left="1500" w:hanging="412"/>
        <w:spacing w:after="0"/>
        <w:tabs>
          <w:tab w:leader="none" w:pos="15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On the Change of Control Payment Date, the Company will, to the extent lawful:</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1"/>
          <w:numId w:val="45"/>
        </w:numPr>
        <w:rPr>
          <w:rFonts w:ascii="Arial" w:cs="Arial" w:eastAsia="Arial" w:hAnsi="Arial"/>
          <w:sz w:val="20"/>
          <w:szCs w:val="20"/>
          <w:color w:val="auto"/>
        </w:rPr>
      </w:pPr>
      <w:r>
        <w:rPr>
          <w:rFonts w:ascii="Arial" w:cs="Arial" w:eastAsia="Arial" w:hAnsi="Arial"/>
          <w:sz w:val="20"/>
          <w:szCs w:val="20"/>
          <w:color w:val="auto"/>
        </w:rPr>
        <w:t>accept for payment all Notes or portions of Notes properly tendered pursuant to the Change of Control Offer;</w:t>
      </w:r>
    </w:p>
    <w:p>
      <w:pPr>
        <w:spacing w:after="0" w:line="215" w:lineRule="exact"/>
        <w:rPr>
          <w:rFonts w:ascii="Arial" w:cs="Arial" w:eastAsia="Arial" w:hAnsi="Arial"/>
          <w:sz w:val="20"/>
          <w:szCs w:val="20"/>
          <w:color w:val="auto"/>
        </w:rPr>
      </w:pPr>
    </w:p>
    <w:p>
      <w:pPr>
        <w:ind w:right="220" w:firstLine="1305"/>
        <w:spacing w:after="0" w:line="260" w:lineRule="auto"/>
        <w:tabs>
          <w:tab w:leader="none" w:pos="1707" w:val="left"/>
        </w:tabs>
        <w:numPr>
          <w:ilvl w:val="1"/>
          <w:numId w:val="45"/>
        </w:numPr>
        <w:rPr>
          <w:rFonts w:ascii="Arial" w:cs="Arial" w:eastAsia="Arial" w:hAnsi="Arial"/>
          <w:sz w:val="20"/>
          <w:szCs w:val="20"/>
          <w:color w:val="auto"/>
        </w:rPr>
      </w:pPr>
      <w:r>
        <w:rPr>
          <w:rFonts w:ascii="Arial" w:cs="Arial" w:eastAsia="Arial" w:hAnsi="Arial"/>
          <w:sz w:val="20"/>
          <w:szCs w:val="20"/>
          <w:color w:val="auto"/>
        </w:rPr>
        <w:t>deposit with the Paying Agent an amount equal to the Change of Control Payment in respect of all Notes or portions of Notes properly tendered; and</w:t>
      </w:r>
    </w:p>
    <w:p>
      <w:pPr>
        <w:spacing w:after="0" w:line="176" w:lineRule="exact"/>
        <w:rPr>
          <w:rFonts w:ascii="Arial" w:cs="Arial" w:eastAsia="Arial" w:hAnsi="Arial"/>
          <w:sz w:val="20"/>
          <w:szCs w:val="20"/>
          <w:color w:val="auto"/>
        </w:rPr>
      </w:pPr>
    </w:p>
    <w:p>
      <w:pPr>
        <w:ind w:right="220" w:firstLine="1305"/>
        <w:spacing w:after="0" w:line="260" w:lineRule="auto"/>
        <w:tabs>
          <w:tab w:leader="none" w:pos="1707" w:val="left"/>
        </w:tabs>
        <w:numPr>
          <w:ilvl w:val="1"/>
          <w:numId w:val="45"/>
        </w:numPr>
        <w:rPr>
          <w:rFonts w:ascii="Arial" w:cs="Arial" w:eastAsia="Arial" w:hAnsi="Arial"/>
          <w:sz w:val="20"/>
          <w:szCs w:val="20"/>
          <w:color w:val="auto"/>
        </w:rPr>
      </w:pPr>
      <w:r>
        <w:rPr>
          <w:rFonts w:ascii="Arial" w:cs="Arial" w:eastAsia="Arial" w:hAnsi="Arial"/>
          <w:sz w:val="20"/>
          <w:szCs w:val="20"/>
          <w:color w:val="auto"/>
        </w:rPr>
        <w:t>deliver or cause to be delivered to the Trustee the Notes properly accepted together with an Officer’s Certificate stating the aggregate principal amount of Notes or portions of Notes being repurchased by the Company.</w:t>
      </w:r>
    </w:p>
    <w:p>
      <w:pPr>
        <w:spacing w:after="0" w:line="17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The Paying Agent will promptly send to each Holder of Notes properly tendered the Change of Control Payment for such Notes, and the Trustee will promptly authenticate and mail (or cause to be transferred by book entry in accordance with the applicable procedures of DTC) to each Holder a new Note equal in principal amount to any unpurchased portion of the Notes surrendered, if any. The Company will publicly announce the results of the Change of Control Offer on or as soon as practicable after the Change of Control Payment Date.</w:t>
      </w:r>
    </w:p>
    <w:p>
      <w:pPr>
        <w:spacing w:after="0" w:line="162" w:lineRule="exact"/>
        <w:rPr>
          <w:sz w:val="20"/>
          <w:szCs w:val="20"/>
          <w:color w:val="auto"/>
        </w:rPr>
      </w:pPr>
    </w:p>
    <w:p>
      <w:pPr>
        <w:ind w:left="1480" w:hanging="392"/>
        <w:spacing w:after="0"/>
        <w:tabs>
          <w:tab w:leader="none" w:pos="14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Company will not be required to make a Change of Control Offer upon a Change of Control Triggering Event if:</w:t>
      </w:r>
    </w:p>
    <w:p>
      <w:pPr>
        <w:spacing w:after="0" w:line="227" w:lineRule="exact"/>
        <w:rPr>
          <w:rFonts w:ascii="Arial" w:cs="Arial" w:eastAsia="Arial" w:hAnsi="Arial"/>
          <w:sz w:val="19"/>
          <w:szCs w:val="19"/>
          <w:color w:val="auto"/>
        </w:rPr>
      </w:pPr>
    </w:p>
    <w:p>
      <w:pPr>
        <w:jc w:val="both"/>
        <w:ind w:right="640" w:firstLine="1305"/>
        <w:spacing w:after="0" w:line="250" w:lineRule="auto"/>
        <w:tabs>
          <w:tab w:leader="none" w:pos="1707" w:val="left"/>
        </w:tabs>
        <w:numPr>
          <w:ilvl w:val="1"/>
          <w:numId w:val="46"/>
        </w:numPr>
        <w:rPr>
          <w:rFonts w:ascii="Arial" w:cs="Arial" w:eastAsia="Arial" w:hAnsi="Arial"/>
          <w:sz w:val="20"/>
          <w:szCs w:val="20"/>
          <w:color w:val="auto"/>
        </w:rPr>
      </w:pPr>
      <w:r>
        <w:rPr>
          <w:rFonts w:ascii="Arial" w:cs="Arial" w:eastAsia="Arial" w:hAnsi="Arial"/>
          <w:sz w:val="20"/>
          <w:szCs w:val="20"/>
          <w:color w:val="auto"/>
        </w:rPr>
        <w:t>a third party makes the Change of Control Offer in the manner, at the times and otherwise in compliance with the requirements set forth in the Indenture applicable to a Change of Control Offer made by the Company and purchases all Notes properly tendered and not withdrawn under</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360"/>
          </w:cols>
          <w:pgMar w:left="240" w:top="366" w:right="299" w:bottom="1440" w:gutter="0" w:footer="0" w:header="0"/>
        </w:sectPr>
      </w:pPr>
    </w:p>
    <w:bookmarkStart w:id="36" w:name="page37"/>
    <w:bookmarkEnd w:id="36"/>
    <w:p>
      <w:pPr>
        <w:jc w:val="both"/>
        <w:ind w:right="80"/>
        <w:spacing w:after="0" w:line="250" w:lineRule="auto"/>
        <w:rPr>
          <w:sz w:val="20"/>
          <w:szCs w:val="20"/>
          <w:color w:val="auto"/>
        </w:rPr>
      </w:pPr>
      <w:r>
        <w:rPr>
          <w:rFonts w:ascii="Arial" w:cs="Arial" w:eastAsia="Arial" w:hAnsi="Arial"/>
          <w:sz w:val="20"/>
          <w:szCs w:val="20"/>
          <w:color w:val="auto"/>
        </w:rPr>
        <w:t xml:space="preserve">the Change of Control Offer;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in the event that such third party terminates, or defaults under, its offer, the Company will be required to make a Change of Control Offer treating the date of such termination or default as though it were the date of the Change of Control Triggering Event; or</w:t>
      </w:r>
    </w:p>
    <w:p>
      <w:pPr>
        <w:spacing w:after="0" w:line="186" w:lineRule="exact"/>
        <w:rPr>
          <w:sz w:val="20"/>
          <w:szCs w:val="20"/>
          <w:color w:val="auto"/>
        </w:rPr>
      </w:pPr>
    </w:p>
    <w:p>
      <w:pPr>
        <w:ind w:right="360" w:firstLine="1305"/>
        <w:spacing w:after="0" w:line="260" w:lineRule="auto"/>
        <w:tabs>
          <w:tab w:leader="none" w:pos="1707" w:val="left"/>
        </w:tabs>
        <w:numPr>
          <w:ilvl w:val="1"/>
          <w:numId w:val="47"/>
        </w:numPr>
        <w:rPr>
          <w:rFonts w:ascii="Arial" w:cs="Arial" w:eastAsia="Arial" w:hAnsi="Arial"/>
          <w:sz w:val="20"/>
          <w:szCs w:val="20"/>
          <w:color w:val="auto"/>
        </w:rPr>
      </w:pPr>
      <w:r>
        <w:rPr>
          <w:rFonts w:ascii="Arial" w:cs="Arial" w:eastAsia="Arial" w:hAnsi="Arial"/>
          <w:sz w:val="20"/>
          <w:szCs w:val="20"/>
          <w:color w:val="auto"/>
        </w:rPr>
        <w:t>notice of redemption has been given pursuant to the Indenture as described above under Section 3.03, unless and until there is a default in payment of the applicable redemption price.</w:t>
      </w:r>
    </w:p>
    <w:p>
      <w:pPr>
        <w:spacing w:after="0" w:line="176" w:lineRule="exact"/>
        <w:rPr>
          <w:rFonts w:ascii="Arial" w:cs="Arial" w:eastAsia="Arial" w:hAnsi="Arial"/>
          <w:sz w:val="20"/>
          <w:szCs w:val="20"/>
          <w:color w:val="auto"/>
        </w:rPr>
      </w:pPr>
    </w:p>
    <w:p>
      <w:pPr>
        <w:ind w:right="40" w:firstLine="1088"/>
        <w:spacing w:after="0" w:line="250" w:lineRule="auto"/>
        <w:tabs>
          <w:tab w:leader="none" w:pos="1491" w:val="left"/>
        </w:tabs>
        <w:numPr>
          <w:ilvl w:val="0"/>
          <w:numId w:val="48"/>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Section 4.04, a Change of Control Offer may be made in advance of a Change of Control Triggering Event, conditioned upon such Change of Control Triggering Event, if a definitive agreement is in place for the Change of Control at the time the Change of Control Offer is made.</w:t>
      </w:r>
    </w:p>
    <w:p>
      <w:pPr>
        <w:spacing w:after="0" w:line="186"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4.05</w:t>
      </w:r>
      <w:r>
        <w:rPr>
          <w:sz w:val="20"/>
          <w:szCs w:val="20"/>
          <w:color w:val="auto"/>
        </w:rPr>
        <w:tab/>
      </w:r>
      <w:r>
        <w:rPr>
          <w:rFonts w:ascii="Arial" w:cs="Arial" w:eastAsia="Arial" w:hAnsi="Arial"/>
          <w:sz w:val="16"/>
          <w:szCs w:val="16"/>
          <w:i w:val="1"/>
          <w:iCs w:val="1"/>
          <w:color w:val="auto"/>
        </w:rPr>
        <w:t>Exempted Transactions.</w:t>
      </w:r>
    </w:p>
    <w:p>
      <w:pPr>
        <w:spacing w:after="0" w:line="216" w:lineRule="exact"/>
        <w:rPr>
          <w:sz w:val="20"/>
          <w:szCs w:val="20"/>
          <w:color w:val="auto"/>
        </w:rPr>
      </w:pPr>
    </w:p>
    <w:p>
      <w:pPr>
        <w:ind w:firstLine="1088"/>
        <w:spacing w:after="0" w:line="255" w:lineRule="auto"/>
        <w:tabs>
          <w:tab w:leader="none" w:pos="14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Notwithstanding Sections 4.03 and 4.07, the Company and any Subsidiary may (1) create, incur or assume any Lien upon any property or assets, or (2) consummate any Sale and Lease Back Transaction if: (i) the aggregate outstanding principal amount of all secured Indebtedness for borrowed money of the Company and its Subsidiaries that is secured by Liens on any of their property or assets, now owned or hereafter acquired (which amount shall exclude Indebtedness secured by Liens incurred pursuant to clauses (2) through (24) of the definition of Permitted Liens), plus (ii) the aggregate Attributable Indebtedness in respect of Sale and Lease Back Transactions that is subject to the restriction on Sale and Lease Back Transactions described above does not exceed an amount that would cause the Consolidated Net Secured Leverage Ratio for the period immediately preceding the creation, incurrence or assumption of such a Lien or consummation of such Sale and Lease Back Transaction, as applicable, to be greater than 3.50 to 1.00, calculated on a pro forma basis after giving effect to the creation, incurrence or assumption of such Lien described above and/or such Attributable Indebtedness in respect of Sale and Lease Back Transactions that is subject to the restriction on Sale and Lease Back Transactions described above. The Company and any Subsidiary may guarantee any Lien created, incurred or assumed and any Sale and Lease Back Transaction consummated, in each case, in compliance with the terms described in this paragraph.</w:t>
      </w:r>
    </w:p>
    <w:p>
      <w:pPr>
        <w:spacing w:after="0" w:line="185" w:lineRule="exact"/>
        <w:rPr>
          <w:rFonts w:ascii="Arial" w:cs="Arial" w:eastAsia="Arial" w:hAnsi="Arial"/>
          <w:sz w:val="19"/>
          <w:szCs w:val="19"/>
          <w:color w:val="auto"/>
        </w:rPr>
      </w:pPr>
    </w:p>
    <w:p>
      <w:pPr>
        <w:ind w:right="60" w:firstLine="1088"/>
        <w:spacing w:after="0" w:line="243" w:lineRule="auto"/>
        <w:tabs>
          <w:tab w:leader="none" w:pos="1491"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 the event any Lien is created, incurred or assumed or any Sale and Lease Back Transaction is consummated, in each case, in reliance upon compliance with the Consolidated Net Secured Leverage Ratio described above, concurrently with creation, incurrence or assumption of any Permitted Lien, then solely for purposes of calculating the Consolidated Net Secured Leverage Ratio at such time (but, for the avoidance of doubt, not in any subsequent calculation of the Consolidated Net Secured Leverage Ratio at a subsequent time), the Consolidated Net Secured Leverage Ratio will be calculated without regard to the creation, incurrence or assumption of any such Permitted Lien.</w:t>
      </w:r>
    </w:p>
    <w:p>
      <w:pPr>
        <w:spacing w:after="0" w:line="196"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4.06</w:t>
      </w:r>
      <w:r>
        <w:rPr>
          <w:sz w:val="20"/>
          <w:szCs w:val="20"/>
          <w:color w:val="auto"/>
        </w:rPr>
        <w:tab/>
      </w:r>
      <w:r>
        <w:rPr>
          <w:rFonts w:ascii="Arial" w:cs="Arial" w:eastAsia="Arial" w:hAnsi="Arial"/>
          <w:sz w:val="18"/>
          <w:szCs w:val="18"/>
          <w:i w:val="1"/>
          <w:iCs w:val="1"/>
          <w:color w:val="auto"/>
        </w:rPr>
        <w:t>Additional Note Guarantees.</w:t>
      </w:r>
    </w:p>
    <w:p>
      <w:pPr>
        <w:spacing w:after="0" w:line="216" w:lineRule="exact"/>
        <w:rPr>
          <w:sz w:val="20"/>
          <w:szCs w:val="20"/>
          <w:color w:val="auto"/>
        </w:rPr>
      </w:pPr>
    </w:p>
    <w:p>
      <w:pPr>
        <w:ind w:right="60" w:firstLine="648"/>
        <w:spacing w:after="0" w:line="258" w:lineRule="auto"/>
        <w:rPr>
          <w:sz w:val="20"/>
          <w:szCs w:val="20"/>
          <w:color w:val="auto"/>
        </w:rPr>
      </w:pPr>
      <w:r>
        <w:rPr>
          <w:rFonts w:ascii="Arial" w:cs="Arial" w:eastAsia="Arial" w:hAnsi="Arial"/>
          <w:sz w:val="19"/>
          <w:szCs w:val="19"/>
          <w:color w:val="auto"/>
        </w:rPr>
        <w:t xml:space="preserve">If the Company or any of its Subsidiaries acquires or creates another Domestic Subsidiary that is a Wholly-Owned Subsidiary after the Issue Date that guarantees or otherwise becomes an obligor with respect to any Indebtedness of the Company or any of its Subsidiaries under a Credit Facility, then such Domestic Subsidiary will become a Guarantor and execute a supplemental indenture and deliver an Opinion of Counsel to the Trustee within 45 business days of the date such Domestic Subsidiary guarantees or otherwise becomes an obligor with respect to any Indebtedness of the Company or any of its Subsidiaries under a Credit Facility;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Domestic Subsidiary that constitutes an Immaterial Subsidiary need not become a Guarantor until such time as it ceases to be an Immaterial Subsidiary. Each Note Guarantee of a Domestic Subsidiary that is a Wholly-Owned Subsidiary will</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00"/>
          </w:cols>
          <w:pgMar w:left="240" w:top="366" w:right="259" w:bottom="1440" w:gutter="0" w:footer="0" w:header="0"/>
        </w:sectPr>
      </w:pPr>
    </w:p>
    <w:bookmarkStart w:id="37" w:name="page38"/>
    <w:bookmarkEnd w:id="37"/>
    <w:p>
      <w:pPr>
        <w:ind w:right="100"/>
        <w:spacing w:after="0" w:line="250" w:lineRule="auto"/>
        <w:rPr>
          <w:sz w:val="20"/>
          <w:szCs w:val="20"/>
          <w:color w:val="auto"/>
        </w:rPr>
      </w:pPr>
      <w:r>
        <w:rPr>
          <w:rFonts w:ascii="Arial" w:cs="Arial" w:eastAsia="Arial" w:hAnsi="Arial"/>
          <w:sz w:val="20"/>
          <w:szCs w:val="20"/>
          <w:color w:val="auto"/>
        </w:rPr>
        <w:t>provide by its terms that it will be automatically released under the circumstances described in Article 9. Beginning on the Fall Away Date and continuing at all times thereafter regardless of any subsequent changes in the ratings of the Notes, this Section 4.06 will permanently cease to be in effect with respect to the Notes.</w:t>
      </w:r>
    </w:p>
    <w:p>
      <w:pPr>
        <w:spacing w:after="0" w:line="186" w:lineRule="exact"/>
        <w:rPr>
          <w:sz w:val="20"/>
          <w:szCs w:val="20"/>
          <w:color w:val="auto"/>
        </w:rPr>
      </w:pPr>
    </w:p>
    <w:p>
      <w:pPr>
        <w:ind w:right="360" w:firstLine="648"/>
        <w:spacing w:after="0" w:line="316" w:lineRule="auto"/>
        <w:rPr>
          <w:sz w:val="20"/>
          <w:szCs w:val="20"/>
          <w:color w:val="auto"/>
        </w:rPr>
      </w:pPr>
      <w:r>
        <w:rPr>
          <w:rFonts w:ascii="Arial" w:cs="Arial" w:eastAsia="Arial" w:hAnsi="Arial"/>
          <w:sz w:val="18"/>
          <w:szCs w:val="18"/>
          <w:color w:val="auto"/>
        </w:rPr>
        <w:t>The Company may elect, in its sole discretion, to cause any Subsidiary that is not otherwise required to be a Guarantor to become a Guarantor, in which case such Subsidiary shall not be required to comply with the 45 business day period described above.</w:t>
      </w:r>
    </w:p>
    <w:p>
      <w:pPr>
        <w:spacing w:after="0" w:line="130"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4.07</w:t>
      </w:r>
      <w:r>
        <w:rPr>
          <w:sz w:val="20"/>
          <w:szCs w:val="20"/>
          <w:color w:val="auto"/>
        </w:rPr>
        <w:tab/>
      </w:r>
      <w:r>
        <w:rPr>
          <w:rFonts w:ascii="Arial" w:cs="Arial" w:eastAsia="Arial" w:hAnsi="Arial"/>
          <w:sz w:val="16"/>
          <w:szCs w:val="16"/>
          <w:i w:val="1"/>
          <w:iCs w:val="1"/>
          <w:color w:val="auto"/>
        </w:rPr>
        <w:t>Sale and Leaseback Transactions.</w:t>
      </w:r>
    </w:p>
    <w:p>
      <w:pPr>
        <w:spacing w:after="0" w:line="216" w:lineRule="exact"/>
        <w:rPr>
          <w:sz w:val="20"/>
          <w:szCs w:val="20"/>
          <w:color w:val="auto"/>
        </w:rPr>
      </w:pPr>
    </w:p>
    <w:p>
      <w:pPr>
        <w:ind w:right="60" w:firstLine="1088"/>
        <w:spacing w:after="0" w:line="291" w:lineRule="auto"/>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permitted under Section 4.05, the Company will not, and will not permit any of its Subsidiaries to, engage in the sale or transfer by the Company or any Subsidiary of any property to a Person (other than the Company or a Subsidiary) and the taking back by the Company or such Subsidiary, as the case may be, of a lease of such property (a “</w:t>
      </w:r>
      <w:r>
        <w:rPr>
          <w:rFonts w:ascii="Arial" w:cs="Arial" w:eastAsia="Arial" w:hAnsi="Arial"/>
          <w:sz w:val="18"/>
          <w:szCs w:val="18"/>
          <w:b w:val="1"/>
          <w:bCs w:val="1"/>
          <w:i w:val="1"/>
          <w:iCs w:val="1"/>
          <w:color w:val="auto"/>
        </w:rPr>
        <w:t>Sale and Leaseback Transaction</w:t>
      </w:r>
      <w:r>
        <w:rPr>
          <w:rFonts w:ascii="Arial" w:cs="Arial" w:eastAsia="Arial" w:hAnsi="Arial"/>
          <w:sz w:val="18"/>
          <w:szCs w:val="18"/>
          <w:color w:val="auto"/>
        </w:rPr>
        <w:t>”) unless:</w:t>
      </w:r>
    </w:p>
    <w:p>
      <w:pPr>
        <w:spacing w:after="0" w:line="151" w:lineRule="exact"/>
        <w:rPr>
          <w:rFonts w:ascii="Arial" w:cs="Arial" w:eastAsia="Arial" w:hAnsi="Arial"/>
          <w:sz w:val="18"/>
          <w:szCs w:val="18"/>
          <w:color w:val="auto"/>
        </w:rPr>
      </w:pPr>
    </w:p>
    <w:p>
      <w:pPr>
        <w:ind w:left="1380" w:right="40" w:firstLine="6"/>
        <w:spacing w:after="0" w:line="260" w:lineRule="auto"/>
        <w:tabs>
          <w:tab w:leader="none" w:pos="1791"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Company or such Subsidiary could incur Indebtedness secured by a Lien on the property to be leased without equally and ratably securing the Notes;</w:t>
      </w:r>
    </w:p>
    <w:p>
      <w:pPr>
        <w:spacing w:after="0" w:line="176" w:lineRule="exact"/>
        <w:rPr>
          <w:rFonts w:ascii="Arial" w:cs="Arial" w:eastAsia="Arial" w:hAnsi="Arial"/>
          <w:sz w:val="20"/>
          <w:szCs w:val="20"/>
          <w:color w:val="auto"/>
        </w:rPr>
      </w:pPr>
    </w:p>
    <w:p>
      <w:pPr>
        <w:ind w:left="1380" w:right="680" w:firstLine="6"/>
        <w:spacing w:after="0" w:line="260" w:lineRule="auto"/>
        <w:tabs>
          <w:tab w:leader="none" w:pos="1791"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property leased pursuant to such arrangement is sold for a price at least equal to such property’s fair value (as determined by the Company in good faith); or</w:t>
      </w:r>
    </w:p>
    <w:p>
      <w:pPr>
        <w:spacing w:after="0" w:line="176" w:lineRule="exact"/>
        <w:rPr>
          <w:rFonts w:ascii="Arial" w:cs="Arial" w:eastAsia="Arial" w:hAnsi="Arial"/>
          <w:sz w:val="20"/>
          <w:szCs w:val="20"/>
          <w:color w:val="auto"/>
        </w:rPr>
      </w:pPr>
    </w:p>
    <w:p>
      <w:pPr>
        <w:ind w:left="1380" w:right="120" w:firstLine="6"/>
        <w:spacing w:after="0" w:line="246" w:lineRule="auto"/>
        <w:tabs>
          <w:tab w:leader="none" w:pos="1791" w:val="left"/>
        </w:tabs>
        <w:numPr>
          <w:ilvl w:val="1"/>
          <w:numId w:val="50"/>
        </w:numPr>
        <w:rPr>
          <w:rFonts w:ascii="Arial" w:cs="Arial" w:eastAsia="Arial" w:hAnsi="Arial"/>
          <w:sz w:val="20"/>
          <w:szCs w:val="20"/>
          <w:color w:val="auto"/>
        </w:rPr>
      </w:pPr>
      <w:r>
        <w:rPr>
          <w:rFonts w:ascii="Arial" w:cs="Arial" w:eastAsia="Arial" w:hAnsi="Arial"/>
          <w:sz w:val="20"/>
          <w:szCs w:val="20"/>
          <w:color w:val="auto"/>
        </w:rPr>
        <w:t>within 365 days of the effective date of any such Sale and Lease Back Transaction, the Company applies the Net Proceeds of the sale of the leased property, less the amount of Net Proceeds used to prepay, redeem or purchase the Notes, (i) to the prepayment or retirement of Indebtedness of the Company and its Subsidiaries (which may include the Notes) and/or (ii) the acquisition, construction or improvement of any property or assets.</w:t>
      </w:r>
    </w:p>
    <w:p>
      <w:pPr>
        <w:spacing w:after="0" w:line="19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SUCCESSORS</w:t>
      </w:r>
    </w:p>
    <w:p>
      <w:pPr>
        <w:spacing w:after="0" w:line="22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in Article V of the Original Indenture shall not apply with respect to the Notes, and this Article 5 supersedes the entirety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jc w:val="both"/>
        <w:ind w:firstLine="656"/>
        <w:spacing w:after="0" w:line="291" w:lineRule="auto"/>
        <w:tabs>
          <w:tab w:leader="none" w:pos="10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will not, directly or indirectly: (1) consolidate or merge with or into another Person (whether or not the Company is the surviving corporation), or (2) sell, assign, transfer, lease, convey or otherwise dispose of all or substantially all of the properties or assets of the Company and its Subsidiaries taken as a whole, in one or more related transactions, to another Person, unless:</w:t>
      </w:r>
    </w:p>
    <w:p>
      <w:pPr>
        <w:spacing w:after="0" w:line="151" w:lineRule="exact"/>
        <w:rPr>
          <w:rFonts w:ascii="Arial" w:cs="Arial" w:eastAsia="Arial" w:hAnsi="Arial"/>
          <w:sz w:val="18"/>
          <w:szCs w:val="18"/>
          <w:color w:val="auto"/>
        </w:rPr>
      </w:pPr>
    </w:p>
    <w:p>
      <w:pPr>
        <w:ind w:left="1720" w:hanging="415"/>
        <w:spacing w:after="0"/>
        <w:tabs>
          <w:tab w:leader="none" w:pos="1720" w:val="left"/>
        </w:tabs>
        <w:numPr>
          <w:ilvl w:val="1"/>
          <w:numId w:val="51"/>
        </w:numPr>
        <w:rPr>
          <w:rFonts w:ascii="Arial" w:cs="Arial" w:eastAsia="Arial" w:hAnsi="Arial"/>
          <w:sz w:val="20"/>
          <w:szCs w:val="20"/>
          <w:color w:val="auto"/>
        </w:rPr>
      </w:pPr>
      <w:r>
        <w:rPr>
          <w:rFonts w:ascii="Arial" w:cs="Arial" w:eastAsia="Arial" w:hAnsi="Arial"/>
          <w:sz w:val="20"/>
          <w:szCs w:val="20"/>
          <w:color w:val="auto"/>
        </w:rPr>
        <w:t>either:</w:t>
      </w:r>
    </w:p>
    <w:p>
      <w:pPr>
        <w:spacing w:after="0" w:line="215" w:lineRule="exact"/>
        <w:rPr>
          <w:rFonts w:ascii="Arial" w:cs="Arial" w:eastAsia="Arial" w:hAnsi="Arial"/>
          <w:sz w:val="20"/>
          <w:szCs w:val="20"/>
          <w:color w:val="auto"/>
        </w:rPr>
      </w:pPr>
    </w:p>
    <w:p>
      <w:pPr>
        <w:ind w:left="2400" w:hanging="447"/>
        <w:spacing w:after="0"/>
        <w:tabs>
          <w:tab w:leader="none" w:pos="2400" w:val="left"/>
        </w:tabs>
        <w:numPr>
          <w:ilvl w:val="2"/>
          <w:numId w:val="51"/>
        </w:numPr>
        <w:rPr>
          <w:rFonts w:ascii="Arial" w:cs="Arial" w:eastAsia="Arial" w:hAnsi="Arial"/>
          <w:sz w:val="20"/>
          <w:szCs w:val="20"/>
          <w:color w:val="auto"/>
        </w:rPr>
      </w:pPr>
      <w:r>
        <w:rPr>
          <w:rFonts w:ascii="Arial" w:cs="Arial" w:eastAsia="Arial" w:hAnsi="Arial"/>
          <w:sz w:val="20"/>
          <w:szCs w:val="20"/>
          <w:color w:val="auto"/>
        </w:rPr>
        <w:t>the Company is the surviving corporation; or</w:t>
      </w:r>
    </w:p>
    <w:p>
      <w:pPr>
        <w:spacing w:after="0" w:line="215" w:lineRule="exact"/>
        <w:rPr>
          <w:rFonts w:ascii="Arial" w:cs="Arial" w:eastAsia="Arial" w:hAnsi="Arial"/>
          <w:sz w:val="20"/>
          <w:szCs w:val="20"/>
          <w:color w:val="auto"/>
        </w:rPr>
      </w:pPr>
    </w:p>
    <w:p>
      <w:pPr>
        <w:ind w:firstLine="1953"/>
        <w:spacing w:after="0" w:line="291" w:lineRule="auto"/>
        <w:tabs>
          <w:tab w:leader="none" w:pos="2389"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Company) or to which such sale, assignment, transfer, lease, conveyance or other disposition has been made (the “</w:t>
      </w:r>
      <w:r>
        <w:rPr>
          <w:rFonts w:ascii="Arial" w:cs="Arial" w:eastAsia="Arial" w:hAnsi="Arial"/>
          <w:sz w:val="18"/>
          <w:szCs w:val="18"/>
          <w:b w:val="1"/>
          <w:bCs w:val="1"/>
          <w:i w:val="1"/>
          <w:iCs w:val="1"/>
          <w:color w:val="auto"/>
        </w:rPr>
        <w:t>Successor Company</w:t>
      </w:r>
      <w:r>
        <w:rPr>
          <w:rFonts w:ascii="Arial" w:cs="Arial" w:eastAsia="Arial" w:hAnsi="Arial"/>
          <w:sz w:val="18"/>
          <w:szCs w:val="18"/>
          <w:color w:val="auto"/>
        </w:rPr>
        <w:t>”) is an entity organized or existing under the laws of the United States, any state of the United States, District of Columbia or any territory thereof; and, if</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366" w:right="23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such entity is not a corporation, a co-obligor of the Notes is a corporation organized or existing under any such laws;</w:t>
      </w:r>
    </w:p>
    <w:p>
      <w:pPr>
        <w:spacing w:after="0" w:line="216" w:lineRule="exact"/>
        <w:rPr>
          <w:sz w:val="20"/>
          <w:szCs w:val="20"/>
          <w:color w:val="auto"/>
        </w:rPr>
      </w:pPr>
    </w:p>
    <w:p>
      <w:pPr>
        <w:ind w:right="60" w:firstLine="1305"/>
        <w:spacing w:after="0" w:line="250" w:lineRule="auto"/>
        <w:tabs>
          <w:tab w:leader="none" w:pos="1707"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Successor Company (if other than the Company) assumes all the obligations of the Company under the Notes and this Supplemental Indenture pursuant to a supplemental indenture substantially in the form attached hereto as Exhibit B, or, in each case, pursuant to other documents or instruments reasonably satisfactory to the Trustee; and</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1"/>
          <w:numId w:val="52"/>
        </w:numPr>
        <w:rPr>
          <w:rFonts w:ascii="Arial" w:cs="Arial" w:eastAsia="Arial" w:hAnsi="Arial"/>
          <w:sz w:val="20"/>
          <w:szCs w:val="20"/>
          <w:color w:val="auto"/>
        </w:rPr>
      </w:pPr>
      <w:r>
        <w:rPr>
          <w:rFonts w:ascii="Arial" w:cs="Arial" w:eastAsia="Arial" w:hAnsi="Arial"/>
          <w:sz w:val="20"/>
          <w:szCs w:val="20"/>
          <w:color w:val="auto"/>
        </w:rPr>
        <w:t>immediately after such transaction, no Default or Event of Default exists.</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059"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Successor Company will succeed to, and be substituted for, the Company under the Indenture and the Notes and the Company will automatically be released and discharged from its obligations under the Indenture and the Notes, but in the case of a lease of all or substantially all of the properties and assets of the Company and its Subsidiaries taken as a whole, the Company will not be released from the obligation to pay the principal of and interest on the Notes.</w:t>
      </w:r>
    </w:p>
    <w:p>
      <w:pPr>
        <w:spacing w:after="0" w:line="191" w:lineRule="exact"/>
        <w:rPr>
          <w:rFonts w:ascii="Arial" w:cs="Arial" w:eastAsia="Arial" w:hAnsi="Arial"/>
          <w:sz w:val="20"/>
          <w:szCs w:val="20"/>
          <w:color w:val="auto"/>
        </w:rPr>
      </w:pPr>
    </w:p>
    <w:p>
      <w:pPr>
        <w:ind w:left="1080" w:hanging="424"/>
        <w:spacing w:after="0"/>
        <w:tabs>
          <w:tab w:leader="none" w:pos="10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Notwithstanding clause (3) of Section 5.01(a),</w:t>
      </w:r>
    </w:p>
    <w:p>
      <w:pPr>
        <w:spacing w:after="0" w:line="215" w:lineRule="exact"/>
        <w:rPr>
          <w:rFonts w:ascii="Arial" w:cs="Arial" w:eastAsia="Arial" w:hAnsi="Arial"/>
          <w:sz w:val="20"/>
          <w:szCs w:val="20"/>
          <w:color w:val="auto"/>
        </w:rPr>
      </w:pPr>
    </w:p>
    <w:p>
      <w:pPr>
        <w:ind w:left="660" w:firstLine="645"/>
        <w:spacing w:after="0" w:line="260" w:lineRule="auto"/>
        <w:tabs>
          <w:tab w:leader="none" w:pos="1773"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Company or any Subsidiary may consolidate or amalgamate with or merge with or into or transfer all or part of its properties and assets to the Company or another Subsidiary, and</w:t>
      </w:r>
    </w:p>
    <w:p>
      <w:pPr>
        <w:spacing w:after="0" w:line="176" w:lineRule="exact"/>
        <w:rPr>
          <w:rFonts w:ascii="Arial" w:cs="Arial" w:eastAsia="Arial" w:hAnsi="Arial"/>
          <w:sz w:val="20"/>
          <w:szCs w:val="20"/>
          <w:color w:val="auto"/>
        </w:rPr>
      </w:pPr>
    </w:p>
    <w:p>
      <w:pPr>
        <w:ind w:left="1800" w:hanging="495"/>
        <w:spacing w:after="0"/>
        <w:tabs>
          <w:tab w:leader="none" w:pos="1800"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Company may merge with or into an Affiliate solely for the purpose of reincorporating the Company in another</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jurisdiction.</w:t>
      </w:r>
    </w:p>
    <w:p>
      <w:pPr>
        <w:spacing w:after="0" w:line="200"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5.02</w:t>
      </w:r>
      <w:r>
        <w:rPr>
          <w:sz w:val="20"/>
          <w:szCs w:val="20"/>
          <w:color w:val="auto"/>
        </w:rPr>
        <w:tab/>
      </w:r>
      <w:r>
        <w:rPr>
          <w:rFonts w:ascii="Arial" w:cs="Arial" w:eastAsia="Arial" w:hAnsi="Arial"/>
          <w:sz w:val="16"/>
          <w:szCs w:val="16"/>
          <w:i w:val="1"/>
          <w:iCs w:val="1"/>
          <w:color w:val="auto"/>
        </w:rPr>
        <w:t>Successor Corporation Substituted.</w:t>
      </w:r>
    </w:p>
    <w:p>
      <w:pPr>
        <w:spacing w:after="0" w:line="216"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In case of any such consolidation, merger, sale, conveyance, transfer, lease or other disposition set forth in Section 5.01, in which the Company is not the Successor Company and upon the assumption by the Successor Company by supplemental indenture executed and delivered to the Trustee of the due and punctual payment of the principal of and interest on all of the Notes, and the due and punctual performance and observance of all of the covenants and conditions of this Supplemental Indenture to be performed or satisfied by the Company, such Successor Company shall succeed to, and be substituted for, and may exercise every right and power of, the Company under this Supplemental Indenture, with the same effect as if it had been named herein as the party of this first part, and the Company shall be discharged from its obligations under the Notes and this Supplemental Indenture, except in the case of any such lease, as provided in Section</w:t>
      </w:r>
    </w:p>
    <w:p>
      <w:pPr>
        <w:spacing w:after="0" w:line="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5.01(b). Such Successor Company thereupon may cause to be signed, and may issue either in its own name or in the name of the Company any or all of the Notes, issuable hereunder that theretofore shall not have been signed by the Company and delivered to the Trustee; and, upon the order of such Successor Company instead of the Company and subject to all the terms, conditions and limitations in this Supplemental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Supplemental Indenture as the Notes theretofore or thereafter issued in accordance with the terms of this Supplemental Indenture as though all of such Notes had been issued at the date of the execution hereof. In the event of any such consolidation, merger, sale, conveyance, transfer or other disposition upon compliance with this Article 5 the person named as the “Company” in the first paragraph of this Supplemental Indenture or any successor that shall thereafter have become such in the manner prescribed in this Article 5 may be dissolved, wound up and liquidated at any time thereafter and such person shall be discharged from its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366" w:right="23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liabilities as obligor and maker of the Notes and from its obligations under this Supplemental Indenture with respect to the Notes.</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 xml:space="preserve">Section 5.03 </w:t>
      </w:r>
      <w:r>
        <w:rPr>
          <w:rFonts w:ascii="Arial" w:cs="Arial" w:eastAsia="Arial" w:hAnsi="Arial"/>
          <w:sz w:val="20"/>
          <w:szCs w:val="20"/>
          <w:i w:val="1"/>
          <w:iCs w:val="1"/>
          <w:color w:val="auto"/>
        </w:rPr>
        <w:t>Opinion of Counsel to Be Given to Trustee.</w:t>
      </w:r>
      <w:r>
        <w:rPr>
          <w:rFonts w:ascii="Arial" w:cs="Arial" w:eastAsia="Arial" w:hAnsi="Arial"/>
          <w:sz w:val="20"/>
          <w:szCs w:val="20"/>
          <w:color w:val="auto"/>
        </w:rPr>
        <w:t xml:space="preserve"> Prior to execution of any supplemental indenture pursuant to this Article 5, the Trustee shall receive an Officer’s Certificate and an Opinion of Counsel in accordance with Section 12.4 of the Original Indenture as conclusive evidence that consolidation, merger, sale, conveyance, transfer, lease or other disposition set forth in Section 5.01 and any such assumption complies with the provisions of this Article 5.</w:t>
      </w:r>
    </w:p>
    <w:p>
      <w:pPr>
        <w:spacing w:after="0" w:line="19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DEFAULT AND REMEDIES</w:t>
      </w:r>
    </w:p>
    <w:p>
      <w:pPr>
        <w:spacing w:after="0" w:line="22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i w:val="1"/>
          <w:iCs w:val="1"/>
          <w:color w:val="auto"/>
        </w:rPr>
        <w:t>Events of Default.</w:t>
      </w:r>
      <w:r>
        <w:rPr>
          <w:rFonts w:ascii="Arial" w:cs="Arial" w:eastAsia="Arial" w:hAnsi="Arial"/>
          <w:sz w:val="20"/>
          <w:szCs w:val="20"/>
          <w:color w:val="auto"/>
        </w:rPr>
        <w:t xml:space="preserve"> Sections 6.7, 6.9, 6.10 and 6.11 in Article VI of the Original Indenture shall apply with respect to the Notes, and this Article 6 supersedes the remaining sections thereof.</w:t>
      </w:r>
    </w:p>
    <w:p>
      <w:pPr>
        <w:spacing w:after="0" w:line="171" w:lineRule="exact"/>
        <w:rPr>
          <w:sz w:val="20"/>
          <w:szCs w:val="20"/>
          <w:color w:val="auto"/>
        </w:rPr>
      </w:pPr>
    </w:p>
    <w:p>
      <w:pPr>
        <w:jc w:val="both"/>
        <w:ind w:right="200" w:firstLine="648"/>
        <w:spacing w:after="0" w:line="393" w:lineRule="auto"/>
        <w:rPr>
          <w:sz w:val="20"/>
          <w:szCs w:val="20"/>
          <w:color w:val="auto"/>
        </w:rPr>
      </w:pPr>
      <w:r>
        <w:rPr>
          <w:rFonts w:ascii="Arial" w:cs="Arial" w:eastAsia="Arial" w:hAnsi="Arial"/>
          <w:sz w:val="16"/>
          <w:szCs w:val="16"/>
          <w:color w:val="auto"/>
        </w:rPr>
        <w:t>Each of the following events shall be an “</w:t>
      </w:r>
      <w:r>
        <w:rPr>
          <w:rFonts w:ascii="Arial" w:cs="Arial" w:eastAsia="Arial" w:hAnsi="Arial"/>
          <w:sz w:val="16"/>
          <w:szCs w:val="16"/>
          <w:b w:val="1"/>
          <w:bCs w:val="1"/>
          <w:color w:val="auto"/>
        </w:rPr>
        <w:t>Event of Default</w:t>
      </w:r>
      <w:r>
        <w:rPr>
          <w:rFonts w:ascii="Arial" w:cs="Arial" w:eastAsia="Arial" w:hAnsi="Arial"/>
          <w:sz w:val="16"/>
          <w:szCs w:val="16"/>
          <w:color w:val="auto"/>
        </w:rPr>
        <w:t>” wherever used herein with respect to the Notes, and, except to the extent set forth in this Section 6.01, the Notes shall not have the benefit of any “Event of Default” specified in Section 6.1 of the Original Indenture:</w:t>
      </w:r>
    </w:p>
    <w:p>
      <w:pPr>
        <w:spacing w:after="0" w:line="79" w:lineRule="exact"/>
        <w:rPr>
          <w:sz w:val="20"/>
          <w:szCs w:val="20"/>
          <w:color w:val="auto"/>
        </w:rPr>
      </w:pPr>
    </w:p>
    <w:p>
      <w:pPr>
        <w:ind w:left="1720" w:hanging="415"/>
        <w:spacing w:after="0"/>
        <w:tabs>
          <w:tab w:leader="none" w:pos="1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default for 30 days in the payment when due of interest on the Notes;</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or otherwise) of the principal of, or premium, if any, 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Notes;</w:t>
      </w:r>
    </w:p>
    <w:p>
      <w:pPr>
        <w:spacing w:after="0" w:line="200" w:lineRule="exact"/>
        <w:rPr>
          <w:sz w:val="20"/>
          <w:szCs w:val="20"/>
          <w:color w:val="auto"/>
        </w:rPr>
      </w:pPr>
    </w:p>
    <w:p>
      <w:pPr>
        <w:ind w:right="400" w:firstLine="1305"/>
        <w:spacing w:after="0" w:line="316" w:lineRule="auto"/>
        <w:tabs>
          <w:tab w:leader="none" w:pos="17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by the Company or any of its Subsidiaries to comply with the provisions described under Article 5 for 30 days after notice to the Company by the Trustee or the Holders of at least 25% in aggregate principal amount of the Notes then outstanding;</w:t>
      </w:r>
    </w:p>
    <w:p>
      <w:pPr>
        <w:spacing w:after="0" w:line="130" w:lineRule="exact"/>
        <w:rPr>
          <w:rFonts w:ascii="Arial" w:cs="Arial" w:eastAsia="Arial" w:hAnsi="Arial"/>
          <w:sz w:val="18"/>
          <w:szCs w:val="18"/>
          <w:color w:val="auto"/>
        </w:rPr>
      </w:pPr>
    </w:p>
    <w:p>
      <w:pPr>
        <w:ind w:right="340" w:firstLine="1305"/>
        <w:spacing w:after="0" w:line="250" w:lineRule="auto"/>
        <w:tabs>
          <w:tab w:leader="none" w:pos="1707" w:val="left"/>
        </w:tabs>
        <w:numPr>
          <w:ilvl w:val="0"/>
          <w:numId w:val="55"/>
        </w:numPr>
        <w:rPr>
          <w:rFonts w:ascii="Arial" w:cs="Arial" w:eastAsia="Arial" w:hAnsi="Arial"/>
          <w:sz w:val="20"/>
          <w:szCs w:val="20"/>
          <w:color w:val="auto"/>
        </w:rPr>
      </w:pPr>
      <w:r>
        <w:rPr>
          <w:rFonts w:ascii="Arial" w:cs="Arial" w:eastAsia="Arial" w:hAnsi="Arial"/>
          <w:sz w:val="20"/>
          <w:szCs w:val="20"/>
          <w:color w:val="auto"/>
        </w:rPr>
        <w:t>failure by the Company or any of its Subsidiaries for 60 days (90 days in the case of the provisions set forth in Section 4.01 hereof) after notice to the Company by the Trustee or the Holders of at least 25% in aggregate principal amount of the Notes then outstanding to comply with any of the other agreements in the Indenture;</w:t>
      </w:r>
    </w:p>
    <w:p>
      <w:pPr>
        <w:spacing w:after="0" w:line="186" w:lineRule="exact"/>
        <w:rPr>
          <w:rFonts w:ascii="Arial" w:cs="Arial" w:eastAsia="Arial" w:hAnsi="Arial"/>
          <w:sz w:val="20"/>
          <w:szCs w:val="20"/>
          <w:color w:val="auto"/>
        </w:rPr>
      </w:pPr>
    </w:p>
    <w:p>
      <w:pPr>
        <w:jc w:val="both"/>
        <w:ind w:right="140" w:firstLine="1305"/>
        <w:spacing w:after="0" w:line="291" w:lineRule="auto"/>
        <w:tabs>
          <w:tab w:leader="none" w:pos="17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default with respect to any mortgage, agreement or other instrument under which there may be outstanding, or by which may be secured or evidenced any Indebtedness for money borrowed in excess of $100.0 million in the aggregate by the Company or any of its Subsidiaries, whether such Indebtedness or Guarantee now exists, or is created after the Issue Date, if that default:</w:t>
      </w:r>
    </w:p>
    <w:p>
      <w:pPr>
        <w:spacing w:after="0" w:line="151" w:lineRule="exact"/>
        <w:rPr>
          <w:rFonts w:ascii="Arial" w:cs="Arial" w:eastAsia="Arial" w:hAnsi="Arial"/>
          <w:sz w:val="18"/>
          <w:szCs w:val="18"/>
          <w:color w:val="auto"/>
        </w:rPr>
      </w:pPr>
    </w:p>
    <w:p>
      <w:pPr>
        <w:ind w:left="540" w:right="280" w:firstLine="1953"/>
        <w:spacing w:after="0" w:line="386" w:lineRule="auto"/>
        <w:tabs>
          <w:tab w:leader="none" w:pos="2884" w:val="left"/>
        </w:tabs>
        <w:numPr>
          <w:ilvl w:val="1"/>
          <w:numId w:val="55"/>
        </w:numPr>
        <w:rPr>
          <w:rFonts w:ascii="Arial" w:cs="Arial" w:eastAsia="Arial" w:hAnsi="Arial"/>
          <w:sz w:val="16"/>
          <w:szCs w:val="16"/>
          <w:color w:val="auto"/>
        </w:rPr>
      </w:pPr>
      <w:r>
        <w:rPr>
          <w:rFonts w:ascii="Arial" w:cs="Arial" w:eastAsia="Arial" w:hAnsi="Arial"/>
          <w:sz w:val="16"/>
          <w:szCs w:val="16"/>
          <w:color w:val="auto"/>
        </w:rPr>
        <w:t>constitutes a failure to pay the principal or interest of any such Indebtedness or Guarantee when due and payable at its Stated Maturity, upon required repurchase, upon declaration or otherwise (subject to any applicable grace period); or</w:t>
      </w:r>
    </w:p>
    <w:p>
      <w:pPr>
        <w:spacing w:after="0" w:line="83" w:lineRule="exact"/>
        <w:rPr>
          <w:rFonts w:ascii="Arial" w:cs="Arial" w:eastAsia="Arial" w:hAnsi="Arial"/>
          <w:sz w:val="16"/>
          <w:szCs w:val="16"/>
          <w:color w:val="auto"/>
        </w:rPr>
      </w:pPr>
    </w:p>
    <w:p>
      <w:pPr>
        <w:ind w:left="2900" w:hanging="407"/>
        <w:spacing w:after="0"/>
        <w:tabs>
          <w:tab w:leader="none" w:pos="29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results in such Indebtedness becoming or being declared due and payable;</w:t>
      </w:r>
    </w:p>
    <w:p>
      <w:pPr>
        <w:spacing w:after="0" w:line="215" w:lineRule="exact"/>
        <w:rPr>
          <w:rFonts w:ascii="Arial" w:cs="Arial" w:eastAsia="Arial" w:hAnsi="Arial"/>
          <w:sz w:val="20"/>
          <w:szCs w:val="20"/>
          <w:color w:val="auto"/>
        </w:rPr>
      </w:pPr>
    </w:p>
    <w:p>
      <w:pPr>
        <w:ind w:right="680" w:firstLine="1305"/>
        <w:spacing w:after="0" w:line="316" w:lineRule="auto"/>
        <w:tabs>
          <w:tab w:leader="none" w:pos="17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by the Company or any of its Subsidiaries to pay final judgments entered by a court or courts of competent jurisdiction aggregating in excess of $100.0 million, which judgments are not paid, discharged or stayed, for a period of 60 days;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366" w:right="239" w:bottom="1440" w:gutter="0" w:footer="0" w:header="0"/>
        </w:sectPr>
      </w:pPr>
    </w:p>
    <w:bookmarkStart w:id="40" w:name="page41"/>
    <w:bookmarkEnd w:id="40"/>
    <w:p>
      <w:pPr>
        <w:ind w:firstLine="1305"/>
        <w:spacing w:after="0" w:line="243" w:lineRule="auto"/>
        <w:tabs>
          <w:tab w:leader="none" w:pos="1707" w:val="left"/>
        </w:tabs>
        <w:numPr>
          <w:ilvl w:val="0"/>
          <w:numId w:val="56"/>
        </w:numPr>
        <w:rPr>
          <w:rFonts w:ascii="Arial" w:cs="Arial" w:eastAsia="Arial" w:hAnsi="Arial"/>
          <w:sz w:val="20"/>
          <w:szCs w:val="20"/>
          <w:color w:val="auto"/>
        </w:rPr>
      </w:pPr>
      <w:r>
        <w:rPr>
          <w:rFonts w:ascii="Arial" w:cs="Arial" w:eastAsia="Arial" w:hAnsi="Arial"/>
          <w:sz w:val="20"/>
          <w:szCs w:val="20"/>
          <w:color w:val="auto"/>
        </w:rPr>
        <w:t>prior to the Fall Away Date, except as permitted by the Indenture, any Note Guarantee of any Guarantor that is a Significant Subsidiary (or any group of Guarantors that, taken together, as of the latest audited consolidated financial statements for the Company would constitute a Significant Subsidiary) is held in any judicial proceeding to be unenforceable or invalid or ceases for any reason to be in full force and effect, or any Guarantor that is a Significant Subsidiary, or any group of Guarantors that, taken together, would constitute a Significant Subsidiary, or any Person acting on behalf of any such Guarantor or group of Guarantors, denies or disaffirms its obligations under its Note Guarantee; and</w:t>
      </w:r>
    </w:p>
    <w:p>
      <w:pPr>
        <w:spacing w:after="0" w:line="196" w:lineRule="exact"/>
        <w:rPr>
          <w:rFonts w:ascii="Arial" w:cs="Arial" w:eastAsia="Arial" w:hAnsi="Arial"/>
          <w:sz w:val="20"/>
          <w:szCs w:val="20"/>
          <w:color w:val="auto"/>
        </w:rPr>
      </w:pPr>
    </w:p>
    <w:p>
      <w:pPr>
        <w:ind w:right="140" w:firstLine="1305"/>
        <w:spacing w:after="0" w:line="260" w:lineRule="auto"/>
        <w:tabs>
          <w:tab w:leader="none" w:pos="1707"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Company or any of its Subsidiaries that is a Significant Subsidiary or any group of Subsidiaries of the Company that, taken together, would constitute a Significant Subsidiary:</w:t>
      </w:r>
    </w:p>
    <w:p>
      <w:pPr>
        <w:spacing w:after="0" w:line="176" w:lineRule="exact"/>
        <w:rPr>
          <w:rFonts w:ascii="Arial" w:cs="Arial" w:eastAsia="Arial" w:hAnsi="Arial"/>
          <w:sz w:val="20"/>
          <w:szCs w:val="20"/>
          <w:color w:val="auto"/>
        </w:rPr>
      </w:pPr>
    </w:p>
    <w:p>
      <w:pPr>
        <w:ind w:left="2900" w:hanging="407"/>
        <w:spacing w:after="0"/>
        <w:tabs>
          <w:tab w:leader="none" w:pos="29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commences a voluntary case,</w:t>
      </w:r>
    </w:p>
    <w:p>
      <w:pPr>
        <w:spacing w:after="0" w:line="215" w:lineRule="exact"/>
        <w:rPr>
          <w:rFonts w:ascii="Arial" w:cs="Arial" w:eastAsia="Arial" w:hAnsi="Arial"/>
          <w:sz w:val="20"/>
          <w:szCs w:val="20"/>
          <w:color w:val="auto"/>
        </w:rPr>
      </w:pPr>
    </w:p>
    <w:p>
      <w:pPr>
        <w:ind w:left="2900" w:hanging="407"/>
        <w:spacing w:after="0"/>
        <w:tabs>
          <w:tab w:leader="none" w:pos="29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consents to the entry of an order for relief against it in an involuntary case,</w:t>
      </w:r>
    </w:p>
    <w:p>
      <w:pPr>
        <w:spacing w:after="0" w:line="215" w:lineRule="exact"/>
        <w:rPr>
          <w:rFonts w:ascii="Arial" w:cs="Arial" w:eastAsia="Arial" w:hAnsi="Arial"/>
          <w:sz w:val="20"/>
          <w:szCs w:val="20"/>
          <w:color w:val="auto"/>
        </w:rPr>
      </w:pPr>
    </w:p>
    <w:p>
      <w:pPr>
        <w:ind w:left="2900" w:hanging="407"/>
        <w:spacing w:after="0"/>
        <w:tabs>
          <w:tab w:leader="none" w:pos="29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consents to the appointment of a custodian of it or for all or substantially all of its property,</w:t>
      </w:r>
    </w:p>
    <w:p>
      <w:pPr>
        <w:spacing w:after="0" w:line="215" w:lineRule="exact"/>
        <w:rPr>
          <w:rFonts w:ascii="Arial" w:cs="Arial" w:eastAsia="Arial" w:hAnsi="Arial"/>
          <w:sz w:val="20"/>
          <w:szCs w:val="20"/>
          <w:color w:val="auto"/>
        </w:rPr>
      </w:pPr>
    </w:p>
    <w:p>
      <w:pPr>
        <w:ind w:left="2900" w:hanging="407"/>
        <w:spacing w:after="0"/>
        <w:tabs>
          <w:tab w:leader="none" w:pos="29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makes a general assignment for the benefit of its creditors, or</w:t>
      </w:r>
    </w:p>
    <w:p>
      <w:pPr>
        <w:spacing w:after="0" w:line="215" w:lineRule="exact"/>
        <w:rPr>
          <w:rFonts w:ascii="Arial" w:cs="Arial" w:eastAsia="Arial" w:hAnsi="Arial"/>
          <w:sz w:val="20"/>
          <w:szCs w:val="20"/>
          <w:color w:val="auto"/>
        </w:rPr>
      </w:pPr>
    </w:p>
    <w:p>
      <w:pPr>
        <w:ind w:left="2900" w:hanging="407"/>
        <w:spacing w:after="0"/>
        <w:tabs>
          <w:tab w:leader="none" w:pos="29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generally is not paying its debts as they become due</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20"/>
          <w:szCs w:val="20"/>
          <w:color w:val="auto"/>
        </w:rPr>
        <w:t>in each case, pursuant to or within the meaning of Bankruptcy Law; or</w:t>
      </w:r>
    </w:p>
    <w:p>
      <w:pPr>
        <w:spacing w:after="0" w:line="216" w:lineRule="exact"/>
        <w:rPr>
          <w:sz w:val="20"/>
          <w:szCs w:val="20"/>
          <w:color w:val="auto"/>
        </w:rPr>
      </w:pPr>
    </w:p>
    <w:p>
      <w:pPr>
        <w:ind w:left="1720" w:hanging="415"/>
        <w:spacing w:after="0"/>
        <w:tabs>
          <w:tab w:leader="none" w:pos="1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 court of competent jurisdiction enters an order or decree under any Bankruptcy Law that:</w:t>
      </w:r>
    </w:p>
    <w:p>
      <w:pPr>
        <w:spacing w:after="0" w:line="215" w:lineRule="exact"/>
        <w:rPr>
          <w:rFonts w:ascii="Arial" w:cs="Arial" w:eastAsia="Arial" w:hAnsi="Arial"/>
          <w:sz w:val="20"/>
          <w:szCs w:val="20"/>
          <w:color w:val="auto"/>
        </w:rPr>
      </w:pPr>
    </w:p>
    <w:p>
      <w:pPr>
        <w:ind w:left="540" w:right="160" w:firstLine="1953"/>
        <w:spacing w:after="0" w:line="287" w:lineRule="auto"/>
        <w:tabs>
          <w:tab w:leader="none" w:pos="2884" w:val="left"/>
        </w:tabs>
        <w:numPr>
          <w:ilvl w:val="1"/>
          <w:numId w:val="57"/>
        </w:numPr>
        <w:rPr>
          <w:rFonts w:ascii="Arial" w:cs="Arial" w:eastAsia="Arial" w:hAnsi="Arial"/>
          <w:sz w:val="19"/>
          <w:szCs w:val="19"/>
          <w:color w:val="auto"/>
        </w:rPr>
      </w:pPr>
      <w:r>
        <w:rPr>
          <w:rFonts w:ascii="Arial" w:cs="Arial" w:eastAsia="Arial" w:hAnsi="Arial"/>
          <w:sz w:val="19"/>
          <w:szCs w:val="19"/>
          <w:color w:val="auto"/>
        </w:rPr>
        <w:t>is for relief against the Company or any of its Subsidiaries that is a Significant Subsidiary or any group of Subsidiaries of the Company that, taken together, would constitute a Significant Subsidiary in an involuntary case;</w:t>
      </w:r>
    </w:p>
    <w:p>
      <w:pPr>
        <w:spacing w:after="0" w:line="152" w:lineRule="exact"/>
        <w:rPr>
          <w:rFonts w:ascii="Arial" w:cs="Arial" w:eastAsia="Arial" w:hAnsi="Arial"/>
          <w:sz w:val="19"/>
          <w:szCs w:val="19"/>
          <w:color w:val="auto"/>
        </w:rPr>
      </w:pPr>
    </w:p>
    <w:p>
      <w:pPr>
        <w:ind w:left="540" w:right="20" w:firstLine="1953"/>
        <w:spacing w:after="0" w:line="246" w:lineRule="auto"/>
        <w:tabs>
          <w:tab w:leader="none" w:pos="2895" w:val="left"/>
        </w:tabs>
        <w:numPr>
          <w:ilvl w:val="1"/>
          <w:numId w:val="57"/>
        </w:numPr>
        <w:rPr>
          <w:rFonts w:ascii="Arial" w:cs="Arial" w:eastAsia="Arial" w:hAnsi="Arial"/>
          <w:sz w:val="20"/>
          <w:szCs w:val="20"/>
          <w:color w:val="auto"/>
        </w:rPr>
      </w:pPr>
      <w:r>
        <w:rPr>
          <w:rFonts w:ascii="Arial" w:cs="Arial" w:eastAsia="Arial" w:hAnsi="Arial"/>
          <w:sz w:val="20"/>
          <w:szCs w:val="20"/>
          <w:color w:val="auto"/>
        </w:rPr>
        <w:t>appoints a custodian of the Company or any of its Subsidiaries that is a Significant Subsidiary or any group of Subsidiaries of the Company that, taken together, would constitute a Significant Subsidiary or for all or substantially all of the property of the Company or any of its Subsidiaries that is a Significant Subsidiary or any group of Subsidiaries of the Company that, taken together, would constitute a Significant Subsidiary; or</w:t>
      </w:r>
    </w:p>
    <w:p>
      <w:pPr>
        <w:spacing w:after="0" w:line="191" w:lineRule="exact"/>
        <w:rPr>
          <w:rFonts w:ascii="Arial" w:cs="Arial" w:eastAsia="Arial" w:hAnsi="Arial"/>
          <w:sz w:val="20"/>
          <w:szCs w:val="20"/>
          <w:color w:val="auto"/>
        </w:rPr>
      </w:pPr>
    </w:p>
    <w:p>
      <w:pPr>
        <w:ind w:left="540" w:right="460" w:firstLine="1953"/>
        <w:spacing w:after="0" w:line="287" w:lineRule="auto"/>
        <w:tabs>
          <w:tab w:leader="none" w:pos="2884" w:val="left"/>
        </w:tabs>
        <w:numPr>
          <w:ilvl w:val="1"/>
          <w:numId w:val="57"/>
        </w:numPr>
        <w:rPr>
          <w:rFonts w:ascii="Arial" w:cs="Arial" w:eastAsia="Arial" w:hAnsi="Arial"/>
          <w:sz w:val="19"/>
          <w:szCs w:val="19"/>
          <w:color w:val="auto"/>
        </w:rPr>
      </w:pPr>
      <w:r>
        <w:rPr>
          <w:rFonts w:ascii="Arial" w:cs="Arial" w:eastAsia="Arial" w:hAnsi="Arial"/>
          <w:sz w:val="19"/>
          <w:szCs w:val="19"/>
          <w:color w:val="auto"/>
        </w:rPr>
        <w:t>orders the liquidation of the Company or any of its Subsidiaries that is a Significant Subsidiary or any group of Subsidiaries of the Company that, taken together, would constitute a Significant Subsidiary;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 the order or decree remains unstayed and in effect for 60 consecutive days.</w:t>
      </w:r>
    </w:p>
    <w:p>
      <w:pPr>
        <w:spacing w:after="0" w:line="216"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So long as any of the Notes are outstanding, the Company will deliver to the Trustee, within 30 days of any Officer becoming aware of any Default or Event of Default that is continuing, an Officer’s Certificate specifying such Default or Event of Default and what action the Company is taking or proposes to take with respect thereto.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366" w:right="239" w:bottom="1440" w:gutter="0" w:footer="0" w:header="0"/>
        </w:sectPr>
      </w:pPr>
    </w:p>
    <w:bookmarkStart w:id="41" w:name="page42"/>
    <w:bookmarkEnd w:id="41"/>
    <w:p>
      <w:pPr>
        <w:spacing w:after="0"/>
        <w:tabs>
          <w:tab w:leader="none" w:pos="1160" w:val="left"/>
        </w:tabs>
        <w:rPr>
          <w:sz w:val="20"/>
          <w:szCs w:val="20"/>
          <w:color w:val="auto"/>
        </w:rPr>
      </w:pPr>
      <w:r>
        <w:rPr>
          <w:rFonts w:ascii="Arial" w:cs="Arial" w:eastAsia="Arial" w:hAnsi="Arial"/>
          <w:sz w:val="20"/>
          <w:szCs w:val="20"/>
          <w:color w:val="auto"/>
        </w:rPr>
        <w:t>Section 6.02</w:t>
      </w:r>
      <w:r>
        <w:rPr>
          <w:sz w:val="20"/>
          <w:szCs w:val="20"/>
          <w:color w:val="auto"/>
        </w:rPr>
        <w:tab/>
      </w:r>
      <w:r>
        <w:rPr>
          <w:rFonts w:ascii="Arial" w:cs="Arial" w:eastAsia="Arial" w:hAnsi="Arial"/>
          <w:sz w:val="18"/>
          <w:szCs w:val="18"/>
          <w:i w:val="1"/>
          <w:iCs w:val="1"/>
          <w:color w:val="auto"/>
        </w:rPr>
        <w:t>Acceleration.</w:t>
      </w:r>
    </w:p>
    <w:p>
      <w:pPr>
        <w:spacing w:after="0" w:line="216"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color w:val="auto"/>
        </w:rPr>
        <w:t>In the case of an Event of Default specified in clause (8) or (9) of Section 6.01, with respect to the Company, any Subsidiary of the Company that is a Significant Subsidiary or any group of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w:t>
      </w:r>
    </w:p>
    <w:p>
      <w:pPr>
        <w:spacing w:after="0" w:line="165"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The Holders of a majority in aggregate principal amount of the then outstanding Notes by written notice to the Trustee may, on behalf of all of the Holders of all the Notes, rescind an acceleration and its consequences under the Indenture, if the rescission would not conflict with any judgment or decree of a court of competent jurisdiction, except a continuing Default or Event of Default in the payment of principal of, premium on, if any, or interest on, if any, the Notes.</w:t>
      </w:r>
    </w:p>
    <w:p>
      <w:pPr>
        <w:spacing w:after="0" w:line="192"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6.03</w:t>
      </w:r>
      <w:r>
        <w:rPr>
          <w:sz w:val="20"/>
          <w:szCs w:val="20"/>
          <w:color w:val="auto"/>
        </w:rPr>
        <w:tab/>
      </w:r>
      <w:r>
        <w:rPr>
          <w:rFonts w:ascii="Arial" w:cs="Arial" w:eastAsia="Arial" w:hAnsi="Arial"/>
          <w:sz w:val="16"/>
          <w:szCs w:val="16"/>
          <w:i w:val="1"/>
          <w:iCs w:val="1"/>
          <w:color w:val="auto"/>
        </w:rPr>
        <w:t>Other Remedies.</w:t>
      </w:r>
    </w:p>
    <w:p>
      <w:pPr>
        <w:spacing w:after="0" w:line="216" w:lineRule="exact"/>
        <w:rPr>
          <w:sz w:val="20"/>
          <w:szCs w:val="20"/>
          <w:color w:val="auto"/>
        </w:rPr>
      </w:pPr>
    </w:p>
    <w:p>
      <w:pPr>
        <w:ind w:right="320" w:firstLine="648"/>
        <w:spacing w:after="0" w:line="316"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of, premium on, if any, or interest, if any, on, the Notes or to enforce the performance of any provision of the Notes or the Indenture.</w:t>
      </w:r>
    </w:p>
    <w:p>
      <w:pPr>
        <w:spacing w:after="0" w:line="130"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92"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6.04</w:t>
      </w:r>
      <w:r>
        <w:rPr>
          <w:sz w:val="20"/>
          <w:szCs w:val="20"/>
          <w:color w:val="auto"/>
        </w:rPr>
        <w:tab/>
      </w:r>
      <w:r>
        <w:rPr>
          <w:rFonts w:ascii="Arial" w:cs="Arial" w:eastAsia="Arial" w:hAnsi="Arial"/>
          <w:sz w:val="16"/>
          <w:szCs w:val="16"/>
          <w:i w:val="1"/>
          <w:iCs w:val="1"/>
          <w:color w:val="auto"/>
        </w:rPr>
        <w:t>Waiver of Past Defaults.</w:t>
      </w:r>
    </w:p>
    <w:p>
      <w:pPr>
        <w:spacing w:after="0" w:line="216" w:lineRule="exact"/>
        <w:rPr>
          <w:sz w:val="20"/>
          <w:szCs w:val="20"/>
          <w:color w:val="auto"/>
        </w:rPr>
      </w:pPr>
    </w:p>
    <w:p>
      <w:pPr>
        <w:ind w:right="160" w:firstLine="648"/>
        <w:spacing w:after="0" w:line="313" w:lineRule="auto"/>
        <w:rPr>
          <w:sz w:val="20"/>
          <w:szCs w:val="20"/>
          <w:color w:val="auto"/>
        </w:rPr>
      </w:pPr>
      <w:r>
        <w:rPr>
          <w:rFonts w:ascii="Arial" w:cs="Arial" w:eastAsia="Arial" w:hAnsi="Arial"/>
          <w:sz w:val="16"/>
          <w:szCs w:val="16"/>
          <w:color w:val="auto"/>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principal of, premium on, if any, or interest on, the Notes (including in connection with an offer to purchase);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the Indenture with respect to the Notes; but no such waiver shall extend to any subsequent or other Default or impair any right consequent thereon.</w:t>
      </w:r>
    </w:p>
    <w:p>
      <w:pPr>
        <w:spacing w:after="0" w:line="144" w:lineRule="exact"/>
        <w:rPr>
          <w:sz w:val="20"/>
          <w:szCs w:val="20"/>
          <w:color w:val="auto"/>
        </w:rPr>
      </w:pPr>
    </w:p>
    <w:p>
      <w:pPr>
        <w:ind w:right="260" w:firstLine="648"/>
        <w:spacing w:after="0" w:line="321" w:lineRule="auto"/>
        <w:rPr>
          <w:sz w:val="20"/>
          <w:szCs w:val="20"/>
          <w:color w:val="auto"/>
        </w:rPr>
      </w:pPr>
      <w:r>
        <w:rPr>
          <w:rFonts w:ascii="Arial" w:cs="Arial" w:eastAsia="Arial" w:hAnsi="Arial"/>
          <w:sz w:val="16"/>
          <w:szCs w:val="16"/>
          <w:color w:val="auto"/>
        </w:rPr>
        <w:t>In the event of any Event of Default specified in Section 6.01(5), such Event of Default and all consequences thereof (excluding any resulting payment default, other than as a result of acceleration of the Notes) shall be annulled, waived and rescinded, automatically and without any action by the Trustee or the Holders, if within 20 days after such Event of Default arose: (1) the Indebtedness or Note Guarantee that is the basis for such Event of Default has been discharged; or (2) Holders thereof have rescinded or waived the acceleration, notice or action (as the case may be) giving rise to such Event of Default; or (3) the default that is the basis for such Event of Default has been cured.</w:t>
      </w:r>
    </w:p>
    <w:p>
      <w:pPr>
        <w:spacing w:after="0" w:line="134"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6.05</w:t>
      </w:r>
      <w:r>
        <w:rPr>
          <w:sz w:val="20"/>
          <w:szCs w:val="20"/>
          <w:color w:val="auto"/>
        </w:rPr>
        <w:tab/>
      </w:r>
      <w:r>
        <w:rPr>
          <w:rFonts w:ascii="Arial" w:cs="Arial" w:eastAsia="Arial" w:hAnsi="Arial"/>
          <w:sz w:val="18"/>
          <w:szCs w:val="18"/>
          <w:i w:val="1"/>
          <w:iCs w:val="1"/>
          <w:color w:val="auto"/>
        </w:rPr>
        <w:t>Control by Majority.</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366" w:right="239" w:bottom="1440" w:gutter="0" w:footer="0" w:header="0"/>
        </w:sectPr>
      </w:pPr>
    </w:p>
    <w:bookmarkStart w:id="42" w:name="page43"/>
    <w:bookmarkEnd w:id="42"/>
    <w:p>
      <w:pPr>
        <w:ind w:right="20" w:firstLine="648"/>
        <w:spacing w:after="0" w:line="260" w:lineRule="auto"/>
        <w:rPr>
          <w:sz w:val="20"/>
          <w:szCs w:val="20"/>
          <w:color w:val="auto"/>
        </w:rPr>
      </w:pPr>
      <w:r>
        <w:rPr>
          <w:rFonts w:ascii="Arial" w:cs="Arial" w:eastAsia="Arial" w:hAnsi="Arial"/>
          <w:sz w:val="19"/>
          <w:szCs w:val="19"/>
          <w:color w:val="auto"/>
        </w:rPr>
        <w:t>Holders of a majority in principal amount of the then outstanding Notes may direct the time, method and place of conducting any proceeding for exercising any remedy available to the Trustee or of exercising any trust or power conferred on it. The Trustee, however, may refuse to follow any direction that conflicts with law or the Indenture that the Trustee determines is unduly prejudicial to the rights of any other Holders (it being understood that the Trustee does not have the affirmative duty to ascertain whether or not any such directions are unduly prejudicial to such Holders) of a Note or that could result in personal liability for the Trustee.</w:t>
      </w:r>
    </w:p>
    <w:p>
      <w:pPr>
        <w:spacing w:after="0" w:line="181"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6.06</w:t>
      </w:r>
      <w:r>
        <w:rPr>
          <w:sz w:val="20"/>
          <w:szCs w:val="20"/>
          <w:color w:val="auto"/>
        </w:rPr>
        <w:tab/>
      </w:r>
      <w:r>
        <w:rPr>
          <w:rFonts w:ascii="Arial" w:cs="Arial" w:eastAsia="Arial" w:hAnsi="Arial"/>
          <w:sz w:val="18"/>
          <w:szCs w:val="18"/>
          <w:i w:val="1"/>
          <w:iCs w:val="1"/>
          <w:color w:val="auto"/>
        </w:rPr>
        <w:t>Limitation on Suits.</w:t>
      </w:r>
    </w:p>
    <w:p>
      <w:pPr>
        <w:spacing w:after="0" w:line="21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In case an Event of Default occurs and is continuing, the Trustee will be under no obligation to exercise any of the rights or powers under the Indenture at the request or direction of any Holders of Notes unless such Holders have offered to the Trustee indemnity or security satisfactory to the Trustee against any loss, liability or expense. Except to enforce the right to receive payment of principal, premium, if any, or interest, when due, no Holder of a Note may pursue any remedy with respect to the Indenture or the Notes unless:</w:t>
      </w:r>
    </w:p>
    <w:p>
      <w:pPr>
        <w:spacing w:after="0" w:line="162" w:lineRule="exact"/>
        <w:rPr>
          <w:sz w:val="20"/>
          <w:szCs w:val="20"/>
          <w:color w:val="auto"/>
        </w:rPr>
      </w:pPr>
    </w:p>
    <w:p>
      <w:pPr>
        <w:ind w:left="1740" w:hanging="435"/>
        <w:spacing w:after="0"/>
        <w:tabs>
          <w:tab w:leader="none" w:pos="17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such Holder has previously given the Trustee written notice that an Event of Default is continuing;</w:t>
      </w:r>
    </w:p>
    <w:p>
      <w:pPr>
        <w:spacing w:after="0" w:line="215" w:lineRule="exact"/>
        <w:rPr>
          <w:rFonts w:ascii="Arial" w:cs="Arial" w:eastAsia="Arial" w:hAnsi="Arial"/>
          <w:sz w:val="20"/>
          <w:szCs w:val="20"/>
          <w:color w:val="auto"/>
        </w:rPr>
      </w:pPr>
    </w:p>
    <w:p>
      <w:pPr>
        <w:ind w:left="660" w:firstLine="645"/>
        <w:spacing w:after="0" w:line="260" w:lineRule="auto"/>
        <w:tabs>
          <w:tab w:leader="none" w:pos="1737" w:val="left"/>
        </w:tabs>
        <w:numPr>
          <w:ilvl w:val="0"/>
          <w:numId w:val="58"/>
        </w:numPr>
        <w:rPr>
          <w:rFonts w:ascii="Arial" w:cs="Arial" w:eastAsia="Arial" w:hAnsi="Arial"/>
          <w:sz w:val="20"/>
          <w:szCs w:val="20"/>
          <w:color w:val="auto"/>
        </w:rPr>
      </w:pPr>
      <w:r>
        <w:rPr>
          <w:rFonts w:ascii="Arial" w:cs="Arial" w:eastAsia="Arial" w:hAnsi="Arial"/>
          <w:sz w:val="20"/>
          <w:szCs w:val="20"/>
          <w:color w:val="auto"/>
        </w:rPr>
        <w:t>Holders of at least 25% in aggregate principal amount of the then outstanding Notes make a written request to the Trustee to pursue the remedy;</w:t>
      </w:r>
    </w:p>
    <w:p>
      <w:pPr>
        <w:spacing w:after="0" w:line="176" w:lineRule="exact"/>
        <w:rPr>
          <w:rFonts w:ascii="Arial" w:cs="Arial" w:eastAsia="Arial" w:hAnsi="Arial"/>
          <w:sz w:val="20"/>
          <w:szCs w:val="20"/>
          <w:color w:val="auto"/>
        </w:rPr>
      </w:pPr>
    </w:p>
    <w:p>
      <w:pPr>
        <w:ind w:left="660" w:right="320" w:firstLine="645"/>
        <w:spacing w:after="0" w:line="260" w:lineRule="auto"/>
        <w:tabs>
          <w:tab w:leader="none" w:pos="1737" w:val="left"/>
        </w:tabs>
        <w:numPr>
          <w:ilvl w:val="0"/>
          <w:numId w:val="58"/>
        </w:numPr>
        <w:rPr>
          <w:rFonts w:ascii="Arial" w:cs="Arial" w:eastAsia="Arial" w:hAnsi="Arial"/>
          <w:sz w:val="20"/>
          <w:szCs w:val="20"/>
          <w:color w:val="auto"/>
        </w:rPr>
      </w:pPr>
      <w:r>
        <w:rPr>
          <w:rFonts w:ascii="Arial" w:cs="Arial" w:eastAsia="Arial" w:hAnsi="Arial"/>
          <w:sz w:val="20"/>
          <w:szCs w:val="20"/>
          <w:color w:val="auto"/>
        </w:rPr>
        <w:t>such Holder or Holders offer and, if requested, provide to the Trustee security or indemnity satisfactory to the Trustee against any loss, liability or expense;</w:t>
      </w:r>
    </w:p>
    <w:p>
      <w:pPr>
        <w:spacing w:after="0" w:line="176" w:lineRule="exact"/>
        <w:rPr>
          <w:rFonts w:ascii="Arial" w:cs="Arial" w:eastAsia="Arial" w:hAnsi="Arial"/>
          <w:sz w:val="20"/>
          <w:szCs w:val="20"/>
          <w:color w:val="auto"/>
        </w:rPr>
      </w:pPr>
    </w:p>
    <w:p>
      <w:pPr>
        <w:ind w:left="660" w:right="460" w:firstLine="645"/>
        <w:spacing w:after="0" w:line="260" w:lineRule="auto"/>
        <w:tabs>
          <w:tab w:leader="none" w:pos="1737"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Trustee does not comply with such request within 60 days after receipt of the request and the offer of security or indemnity; and</w:t>
      </w:r>
    </w:p>
    <w:p>
      <w:pPr>
        <w:spacing w:after="0" w:line="176" w:lineRule="exact"/>
        <w:rPr>
          <w:rFonts w:ascii="Arial" w:cs="Arial" w:eastAsia="Arial" w:hAnsi="Arial"/>
          <w:sz w:val="20"/>
          <w:szCs w:val="20"/>
          <w:color w:val="auto"/>
        </w:rPr>
      </w:pPr>
    </w:p>
    <w:p>
      <w:pPr>
        <w:ind w:left="660" w:firstLine="645"/>
        <w:spacing w:after="0" w:line="260" w:lineRule="auto"/>
        <w:tabs>
          <w:tab w:leader="none" w:pos="1737" w:val="left"/>
        </w:tabs>
        <w:numPr>
          <w:ilvl w:val="0"/>
          <w:numId w:val="58"/>
        </w:numPr>
        <w:rPr>
          <w:rFonts w:ascii="Arial" w:cs="Arial" w:eastAsia="Arial" w:hAnsi="Arial"/>
          <w:sz w:val="20"/>
          <w:szCs w:val="20"/>
          <w:color w:val="auto"/>
        </w:rPr>
      </w:pPr>
      <w:r>
        <w:rPr>
          <w:rFonts w:ascii="Arial" w:cs="Arial" w:eastAsia="Arial" w:hAnsi="Arial"/>
          <w:sz w:val="20"/>
          <w:szCs w:val="20"/>
          <w:color w:val="auto"/>
        </w:rPr>
        <w:t>during such 60-day period, Holders of a majority in aggregate principal amount of the then outstanding Notes do not give the Trustee a direction inconsistent with such request.</w:t>
      </w:r>
    </w:p>
    <w:p>
      <w:pPr>
        <w:spacing w:after="0" w:line="17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6.07</w:t>
      </w:r>
      <w:r>
        <w:rPr>
          <w:sz w:val="20"/>
          <w:szCs w:val="20"/>
          <w:color w:val="auto"/>
        </w:rPr>
        <w:tab/>
      </w:r>
      <w:r>
        <w:rPr>
          <w:rFonts w:ascii="Arial" w:cs="Arial" w:eastAsia="Arial" w:hAnsi="Arial"/>
          <w:sz w:val="16"/>
          <w:szCs w:val="16"/>
          <w:i w:val="1"/>
          <w:iCs w:val="1"/>
          <w:color w:val="auto"/>
        </w:rPr>
        <w:t>Collection Suit by Trustee.</w:t>
      </w:r>
    </w:p>
    <w:p>
      <w:pPr>
        <w:spacing w:after="0" w:line="216"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If an Event of Default specified in Section 6.01(1) or (2) hereof occurs and is continuing, the Trustee is authorized to recover judgment in its own name and as Trustee of an express trust against the Company for the whole amount of principal of, premium on,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LEGAL DEFEASANCE AND COVENANT DEFEASANCE</w:t>
      </w:r>
    </w:p>
    <w:p>
      <w:pPr>
        <w:spacing w:after="0" w:line="22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7.01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216" w:lineRule="exact"/>
        <w:rPr>
          <w:sz w:val="20"/>
          <w:szCs w:val="20"/>
          <w:color w:val="auto"/>
        </w:rPr>
      </w:pPr>
    </w:p>
    <w:p>
      <w:pPr>
        <w:ind w:right="420" w:firstLine="648"/>
        <w:spacing w:after="0" w:line="250" w:lineRule="auto"/>
        <w:rPr>
          <w:sz w:val="20"/>
          <w:szCs w:val="20"/>
          <w:color w:val="auto"/>
        </w:rPr>
      </w:pPr>
      <w:r>
        <w:rPr>
          <w:rFonts w:ascii="Arial" w:cs="Arial" w:eastAsia="Arial" w:hAnsi="Arial"/>
          <w:sz w:val="20"/>
          <w:szCs w:val="20"/>
          <w:color w:val="auto"/>
        </w:rPr>
        <w:t>The provisions in Article VIII of the Original Indenture shall not apply with respect to the Notes, and this Article 7 supersedes the entirety thereof. The Company may at any time, at the option of its Board of Directors evidenced by a resolution set forth in an Officer’s Certificate, elect to have either</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360"/>
          </w:cols>
          <w:pgMar w:left="240" w:top="366" w:right="299" w:bottom="1440" w:gutter="0" w:footer="0" w:header="0"/>
        </w:sectPr>
      </w:pPr>
    </w:p>
    <w:bookmarkStart w:id="43" w:name="page44"/>
    <w:bookmarkEnd w:id="43"/>
    <w:p>
      <w:pPr>
        <w:spacing w:after="0"/>
        <w:rPr>
          <w:sz w:val="20"/>
          <w:szCs w:val="20"/>
          <w:color w:val="auto"/>
        </w:rPr>
      </w:pPr>
      <w:r>
        <w:rPr>
          <w:rFonts w:ascii="Arial" w:cs="Arial" w:eastAsia="Arial" w:hAnsi="Arial"/>
          <w:sz w:val="19"/>
          <w:szCs w:val="19"/>
          <w:color w:val="auto"/>
        </w:rPr>
        <w:t>Section 7.02 or 7.03 hereof be applied to all outstanding Notes upon compliance with the conditions set forth below in this Article 7.</w:t>
      </w:r>
    </w:p>
    <w:p>
      <w:pPr>
        <w:spacing w:after="0" w:line="22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7.02</w:t>
      </w:r>
      <w:r>
        <w:rPr>
          <w:sz w:val="20"/>
          <w:szCs w:val="20"/>
          <w:color w:val="auto"/>
        </w:rPr>
        <w:tab/>
      </w:r>
      <w:r>
        <w:rPr>
          <w:rFonts w:ascii="Arial" w:cs="Arial" w:eastAsia="Arial" w:hAnsi="Arial"/>
          <w:sz w:val="16"/>
          <w:szCs w:val="16"/>
          <w:i w:val="1"/>
          <w:iCs w:val="1"/>
          <w:color w:val="auto"/>
        </w:rPr>
        <w:t>Legal Defeasance and Discharge.</w:t>
      </w:r>
    </w:p>
    <w:p>
      <w:pPr>
        <w:spacing w:after="0" w:line="216"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Upon the Company’s exercise under Section 7.01 hereof of the option applicable to this Section 7.02, the Company and each of the Guarantors will, subject to the satisfaction of the conditions set forth in Section 7.04 hereof, be deemed to have been discharged from their obligations with respect to the Indenture and all outstanding Notes (including the Note Guarantees) on the date the conditions set forth below are satisfied (hereinafter, “</w:t>
      </w:r>
      <w:r>
        <w:rPr>
          <w:rFonts w:ascii="Arial" w:cs="Arial" w:eastAsia="Arial" w:hAnsi="Arial"/>
          <w:sz w:val="18"/>
          <w:szCs w:val="18"/>
          <w:b w:val="1"/>
          <w:bCs w:val="1"/>
          <w:i w:val="1"/>
          <w:iCs w:val="1"/>
          <w:color w:val="auto"/>
        </w:rPr>
        <w:t>Legal Defeasance</w:t>
      </w:r>
      <w:r>
        <w:rPr>
          <w:rFonts w:ascii="Arial" w:cs="Arial" w:eastAsia="Arial" w:hAnsi="Arial"/>
          <w:sz w:val="18"/>
          <w:szCs w:val="18"/>
          <w:color w:val="auto"/>
        </w:rPr>
        <w:t>”). For this purpose, Legal Defeasance means that the Company and the Guarantors will be deemed to have paid and discharged the entire Indebtedness represented by the outstanding Notes (including the Note Guarantees), which will thereafter be deemed to be “outstanding” only for the purposes of Section 7.05 hereof and the other Sections of this Supplemental Indenture referred to in clauses (1) and (2) below, and to have satisfied all their other obligations under such Notes, the Note Guarantees and the Indenture (and the Trustee, on demand of and at the expense of the Company, shall execute proper instruments acknowledging the same), except for the following provisions which will survive until otherwise terminated or discharged hereunder:</w:t>
      </w:r>
    </w:p>
    <w:p>
      <w:pPr>
        <w:spacing w:after="0" w:line="171" w:lineRule="exact"/>
        <w:rPr>
          <w:sz w:val="20"/>
          <w:szCs w:val="20"/>
          <w:color w:val="auto"/>
        </w:rPr>
      </w:pPr>
    </w:p>
    <w:p>
      <w:pPr>
        <w:ind w:right="540" w:firstLine="1305"/>
        <w:spacing w:after="0" w:line="260" w:lineRule="auto"/>
        <w:tabs>
          <w:tab w:leader="none" w:pos="1757"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rights of Holders of outstanding Notes to receive payments in respect of the principal of, premium on, if any, or interest on, such Notes when such payments are due from the trust referred to below;</w:t>
      </w:r>
    </w:p>
    <w:p>
      <w:pPr>
        <w:spacing w:after="0" w:line="176" w:lineRule="exact"/>
        <w:rPr>
          <w:rFonts w:ascii="Arial" w:cs="Arial" w:eastAsia="Arial" w:hAnsi="Arial"/>
          <w:sz w:val="20"/>
          <w:szCs w:val="20"/>
          <w:color w:val="auto"/>
        </w:rPr>
      </w:pPr>
    </w:p>
    <w:p>
      <w:pPr>
        <w:ind w:right="20" w:firstLine="1305"/>
        <w:spacing w:after="0" w:line="316" w:lineRule="auto"/>
        <w:tabs>
          <w:tab w:leader="none" w:pos="17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Company’s obligations with respect to the Notes concerning issuing temporary Notes, registration of Notes, mutilated, destroyed, lost or stolen Notes and the maintenance of an office or agency for payment and money for security payments held in trust;</w:t>
      </w:r>
    </w:p>
    <w:p>
      <w:pPr>
        <w:spacing w:after="0" w:line="130" w:lineRule="exact"/>
        <w:rPr>
          <w:rFonts w:ascii="Arial" w:cs="Arial" w:eastAsia="Arial" w:hAnsi="Arial"/>
          <w:sz w:val="18"/>
          <w:szCs w:val="18"/>
          <w:color w:val="auto"/>
        </w:rPr>
      </w:pPr>
    </w:p>
    <w:p>
      <w:pPr>
        <w:ind w:right="920" w:firstLine="1305"/>
        <w:spacing w:after="0" w:line="260" w:lineRule="auto"/>
        <w:tabs>
          <w:tab w:leader="none" w:pos="1707"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rights, powers, trusts, duties and immunities of the Trustee under the Indenture, and the Company’s and the Guarantors’ obligations in connection therewith; and</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this Article 7.</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Following the Company’s exercise of its Legal Defeasance option, payment of the Notes may not be accelerated because of an Event of</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Default.</w:t>
      </w:r>
    </w:p>
    <w:p>
      <w:pPr>
        <w:spacing w:after="0" w:line="200"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Subject to compliance with this Article 7, the Company may exercise its option under this Section 7.02 notwithstanding the prior exercise of its option under Section 7.03 hereof.</w:t>
      </w:r>
    </w:p>
    <w:p>
      <w:pPr>
        <w:spacing w:after="0" w:line="17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7.03</w:t>
      </w:r>
      <w:r>
        <w:rPr>
          <w:sz w:val="20"/>
          <w:szCs w:val="20"/>
          <w:color w:val="auto"/>
        </w:rPr>
        <w:tab/>
      </w:r>
      <w:r>
        <w:rPr>
          <w:rFonts w:ascii="Arial" w:cs="Arial" w:eastAsia="Arial" w:hAnsi="Arial"/>
          <w:sz w:val="16"/>
          <w:szCs w:val="16"/>
          <w:i w:val="1"/>
          <w:iCs w:val="1"/>
          <w:color w:val="auto"/>
        </w:rPr>
        <w:t>Covenant Defeasance.</w:t>
      </w:r>
    </w:p>
    <w:p>
      <w:pPr>
        <w:spacing w:after="0" w:line="216" w:lineRule="exact"/>
        <w:rPr>
          <w:sz w:val="20"/>
          <w:szCs w:val="20"/>
          <w:color w:val="auto"/>
        </w:rPr>
      </w:pPr>
    </w:p>
    <w:p>
      <w:pPr>
        <w:ind w:right="20" w:firstLine="648"/>
        <w:spacing w:after="0" w:line="256" w:lineRule="auto"/>
        <w:rPr>
          <w:sz w:val="20"/>
          <w:szCs w:val="20"/>
          <w:color w:val="auto"/>
        </w:rPr>
      </w:pPr>
      <w:r>
        <w:rPr>
          <w:rFonts w:ascii="Arial" w:cs="Arial" w:eastAsia="Arial" w:hAnsi="Arial"/>
          <w:sz w:val="19"/>
          <w:szCs w:val="19"/>
          <w:color w:val="auto"/>
        </w:rPr>
        <w:t>Upon the Company’s exercise under Section 7.01 hereof of the option applicable to this Section 7.03, the Company and each of the Guarantors will, subject to the satisfaction of the conditions set forth in Section 7.04 hereof, be released from each of their obligations under the covenants contained in Article 4 hereof, clause (3) of Section 5.01(a) hereof and Sections 4.3, 4.5, 4.6 and 4.7 of the Original Indenture, in each case with respect to the outstanding Notes, and the Guarantors will be deemed to have been discharged from their obligations with respect to all Note Guarantees on and after the date the conditions set forth in Section 7.04 hereof are satisfied (hereinafter, “</w:t>
      </w:r>
      <w:r>
        <w:rPr>
          <w:rFonts w:ascii="Arial" w:cs="Arial" w:eastAsia="Arial" w:hAnsi="Arial"/>
          <w:sz w:val="19"/>
          <w:szCs w:val="19"/>
          <w:b w:val="1"/>
          <w:bCs w:val="1"/>
          <w:i w:val="1"/>
          <w:iCs w:val="1"/>
          <w:color w:val="auto"/>
        </w:rPr>
        <w:t>Covenant Defeasance</w:t>
      </w:r>
      <w:r>
        <w:rPr>
          <w:rFonts w:ascii="Arial" w:cs="Arial" w:eastAsia="Arial" w:hAnsi="Arial"/>
          <w:sz w:val="19"/>
          <w:szCs w:val="19"/>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366" w:right="239" w:bottom="1440" w:gutter="0" w:footer="0" w:header="0"/>
        </w:sectPr>
      </w:pPr>
    </w:p>
    <w:bookmarkStart w:id="44" w:name="page45"/>
    <w:bookmarkEnd w:id="44"/>
    <w:p>
      <w:pPr>
        <w:ind w:right="20"/>
        <w:spacing w:after="0" w:line="274" w:lineRule="auto"/>
        <w:rPr>
          <w:sz w:val="20"/>
          <w:szCs w:val="20"/>
          <w:color w:val="auto"/>
        </w:rPr>
      </w:pPr>
      <w:r>
        <w:rPr>
          <w:rFonts w:ascii="Arial" w:cs="Arial" w:eastAsia="Arial" w:hAnsi="Arial"/>
          <w:sz w:val="18"/>
          <w:szCs w:val="18"/>
          <w:color w:val="auto"/>
        </w:rPr>
        <w:t>means that, with respect to the outstanding Notes and Note Guarantees, the Company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the Indenture and such Notes and Note Guarantees will be unaffected thereby. In addition, upon the Company’s exercise under Section 7.01 hereof of the option applicable to this Section 7.03, subject to the satisfaction of the conditions set forth in Section 7.04 hereof, Sections 6.01 (3), (4), (5), (6) and (7) hereof will not constitute Events of Default.</w:t>
      </w:r>
    </w:p>
    <w:p>
      <w:pPr>
        <w:spacing w:after="0" w:line="16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7.04</w:t>
      </w:r>
      <w:r>
        <w:rPr>
          <w:sz w:val="20"/>
          <w:szCs w:val="20"/>
          <w:color w:val="auto"/>
        </w:rPr>
        <w:tab/>
      </w:r>
      <w:r>
        <w:rPr>
          <w:rFonts w:ascii="Arial" w:cs="Arial" w:eastAsia="Arial" w:hAnsi="Arial"/>
          <w:sz w:val="16"/>
          <w:szCs w:val="16"/>
          <w:i w:val="1"/>
          <w:iCs w:val="1"/>
          <w:color w:val="auto"/>
        </w:rPr>
        <w:t>Conditions to Legal or Covenant Defeasance.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order to exercise either Legal Defeasance or Covenant Defeasance under either Section 7.02 or 7.03 hereof:</w:t>
      </w:r>
    </w:p>
    <w:p>
      <w:pPr>
        <w:spacing w:after="0" w:line="216" w:lineRule="exact"/>
        <w:rPr>
          <w:sz w:val="20"/>
          <w:szCs w:val="20"/>
          <w:color w:val="auto"/>
        </w:rPr>
      </w:pPr>
    </w:p>
    <w:p>
      <w:pPr>
        <w:jc w:val="both"/>
        <w:ind w:left="660" w:firstLine="645"/>
        <w:spacing w:after="0" w:line="278" w:lineRule="auto"/>
        <w:tabs>
          <w:tab w:leader="none" w:pos="17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on,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65" w:lineRule="exact"/>
        <w:rPr>
          <w:rFonts w:ascii="Arial" w:cs="Arial" w:eastAsia="Arial" w:hAnsi="Arial"/>
          <w:sz w:val="18"/>
          <w:szCs w:val="18"/>
          <w:color w:val="auto"/>
        </w:rPr>
      </w:pPr>
    </w:p>
    <w:p>
      <w:pPr>
        <w:ind w:left="1720" w:hanging="415"/>
        <w:spacing w:after="0"/>
        <w:tabs>
          <w:tab w:leader="none" w:pos="17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 the case of Legal Defeasance, the Company must deliver to the Trustee an Opinion of Counsel confirming that:</w:t>
      </w:r>
    </w:p>
    <w:p>
      <w:pPr>
        <w:spacing w:after="0" w:line="227" w:lineRule="exact"/>
        <w:rPr>
          <w:rFonts w:ascii="Arial" w:cs="Arial" w:eastAsia="Arial" w:hAnsi="Arial"/>
          <w:sz w:val="19"/>
          <w:szCs w:val="19"/>
          <w:color w:val="auto"/>
        </w:rPr>
      </w:pPr>
    </w:p>
    <w:p>
      <w:pPr>
        <w:ind w:left="2400" w:hanging="447"/>
        <w:spacing w:after="0"/>
        <w:tabs>
          <w:tab w:leader="none" w:pos="240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Company has received from, or there has been published by, the Internal Revenue Service a ruling; or</w:t>
      </w:r>
    </w:p>
    <w:p>
      <w:pPr>
        <w:spacing w:after="0" w:line="227" w:lineRule="exact"/>
        <w:rPr>
          <w:rFonts w:ascii="Arial" w:cs="Arial" w:eastAsia="Arial" w:hAnsi="Arial"/>
          <w:sz w:val="19"/>
          <w:szCs w:val="19"/>
          <w:color w:val="auto"/>
        </w:rPr>
      </w:pPr>
    </w:p>
    <w:p>
      <w:pPr>
        <w:ind w:left="2440" w:hanging="487"/>
        <w:spacing w:after="0"/>
        <w:tabs>
          <w:tab w:leader="none" w:pos="24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since the Issue Date, there has been a change in the applicable federal income tax law (or official interpretation</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thereof),</w:t>
      </w:r>
    </w:p>
    <w:p>
      <w:pPr>
        <w:spacing w:after="0" w:line="200" w:lineRule="exact"/>
        <w:rPr>
          <w:sz w:val="20"/>
          <w:szCs w:val="20"/>
          <w:color w:val="auto"/>
        </w:rPr>
      </w:pPr>
    </w:p>
    <w:p>
      <w:pPr>
        <w:ind w:left="660" w:right="40"/>
        <w:spacing w:after="0" w:line="246" w:lineRule="auto"/>
        <w:rPr>
          <w:sz w:val="20"/>
          <w:szCs w:val="20"/>
          <w:color w:val="auto"/>
        </w:rPr>
      </w:pPr>
      <w:r>
        <w:rPr>
          <w:rFonts w:ascii="Arial" w:cs="Arial" w:eastAsia="Arial" w:hAnsi="Arial"/>
          <w:sz w:val="20"/>
          <w:szCs w:val="20"/>
          <w:color w:val="auto"/>
        </w:rPr>
        <w:t>in either case to the effect that, and based thereon such Opinion of Counsel shall confirm that, the Beneficial Owners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92" w:lineRule="exact"/>
        <w:rPr>
          <w:sz w:val="20"/>
          <w:szCs w:val="20"/>
          <w:color w:val="auto"/>
        </w:rPr>
      </w:pPr>
    </w:p>
    <w:p>
      <w:pPr>
        <w:jc w:val="both"/>
        <w:ind w:left="660" w:firstLine="645"/>
        <w:spacing w:after="0" w:line="246" w:lineRule="auto"/>
        <w:tabs>
          <w:tab w:leader="none" w:pos="1732"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 the case of Covenant Defeasance, the Company must deliver to the Trustee an Opinion of Counsel confirming that the Beneficial Owners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91" w:lineRule="exact"/>
        <w:rPr>
          <w:rFonts w:ascii="Arial" w:cs="Arial" w:eastAsia="Arial" w:hAnsi="Arial"/>
          <w:sz w:val="20"/>
          <w:szCs w:val="20"/>
          <w:color w:val="auto"/>
        </w:rPr>
      </w:pPr>
    </w:p>
    <w:p>
      <w:pPr>
        <w:jc w:val="both"/>
        <w:ind w:left="660" w:firstLine="645"/>
        <w:spacing w:after="0" w:line="250" w:lineRule="auto"/>
        <w:tabs>
          <w:tab w:leader="none" w:pos="1746" w:val="left"/>
        </w:tabs>
        <w:numPr>
          <w:ilvl w:val="0"/>
          <w:numId w:val="61"/>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366" w:right="239" w:bottom="1440" w:gutter="0" w:footer="0" w:header="0"/>
        </w:sectPr>
      </w:pPr>
    </w:p>
    <w:bookmarkStart w:id="45" w:name="page46"/>
    <w:bookmarkEnd w:id="45"/>
    <w:p>
      <w:pPr>
        <w:jc w:val="both"/>
        <w:ind w:left="660" w:firstLine="645"/>
        <w:spacing w:after="0" w:line="278" w:lineRule="auto"/>
        <w:tabs>
          <w:tab w:leader="none" w:pos="1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and the agreements governing any other Indebtedness being defeased, discharged or replaced) to which the Company or any of the Guarantors is a party or by which the Company or any of the Guarantors is bound (other than a Default or Event of Default resulting from the borrowing of funds to be applied to such deposit (and any similar concurrent deposit relating to other Indebtedness) and the granting of Liens to secure such borrowings);</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7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86" w:lineRule="exact"/>
        <w:rPr>
          <w:rFonts w:ascii="Arial" w:cs="Arial" w:eastAsia="Arial" w:hAnsi="Arial"/>
          <w:sz w:val="20"/>
          <w:szCs w:val="20"/>
          <w:color w:val="auto"/>
        </w:rPr>
      </w:pPr>
    </w:p>
    <w:p>
      <w:pPr>
        <w:ind w:left="660" w:firstLine="645"/>
        <w:spacing w:after="0" w:line="260" w:lineRule="auto"/>
        <w:tabs>
          <w:tab w:leader="none" w:pos="1854"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7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7.05</w:t>
      </w:r>
      <w:r>
        <w:rPr>
          <w:sz w:val="20"/>
          <w:szCs w:val="20"/>
          <w:color w:val="auto"/>
        </w:rPr>
        <w:tab/>
      </w:r>
      <w:r>
        <w:rPr>
          <w:rFonts w:ascii="Arial" w:cs="Arial" w:eastAsia="Arial" w:hAnsi="Arial"/>
          <w:sz w:val="18"/>
          <w:szCs w:val="18"/>
          <w:i w:val="1"/>
          <w:iCs w:val="1"/>
          <w:color w:val="auto"/>
        </w:rPr>
        <w:t>Deposited Money and Government Securities to be Held in Trust; Other Miscellaneous Provisions.</w:t>
      </w:r>
    </w:p>
    <w:p>
      <w:pPr>
        <w:spacing w:after="0" w:line="216" w:lineRule="exact"/>
        <w:rPr>
          <w:sz w:val="20"/>
          <w:szCs w:val="20"/>
          <w:color w:val="auto"/>
        </w:rPr>
      </w:pPr>
    </w:p>
    <w:p>
      <w:pPr>
        <w:ind w:right="60" w:firstLine="648"/>
        <w:spacing w:after="0" w:line="259" w:lineRule="auto"/>
        <w:rPr>
          <w:sz w:val="20"/>
          <w:szCs w:val="20"/>
          <w:color w:val="auto"/>
        </w:rPr>
      </w:pPr>
      <w:r>
        <w:rPr>
          <w:rFonts w:ascii="Arial" w:cs="Arial" w:eastAsia="Arial" w:hAnsi="Arial"/>
          <w:sz w:val="19"/>
          <w:szCs w:val="19"/>
          <w:color w:val="auto"/>
        </w:rPr>
        <w:t>Subject to Section 7.06, all money and non-callable Government Securities (including the proceeds thereof) deposited with the Trustee (or other qualifying trustee, collectively for purposes of this Section 7.05,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 pursuant to Section 7.04 in respect of the outstanding Notes will be held in trust and applied by the Trustee, in accordance with the provisions of such Notes and the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79" w:lineRule="exact"/>
        <w:rPr>
          <w:sz w:val="20"/>
          <w:szCs w:val="20"/>
          <w:color w:val="auto"/>
        </w:rPr>
      </w:pPr>
    </w:p>
    <w:p>
      <w:pPr>
        <w:jc w:val="both"/>
        <w:ind w:right="160" w:firstLine="648"/>
        <w:spacing w:after="0" w:line="269" w:lineRule="auto"/>
        <w:rPr>
          <w:sz w:val="20"/>
          <w:szCs w:val="20"/>
          <w:color w:val="auto"/>
        </w:rPr>
      </w:pPr>
      <w:r>
        <w:rPr>
          <w:rFonts w:ascii="Arial" w:cs="Arial" w:eastAsia="Arial" w:hAnsi="Arial"/>
          <w:sz w:val="19"/>
          <w:szCs w:val="19"/>
          <w:color w:val="auto"/>
        </w:rPr>
        <w:t>The Company will pay and indemnify the Trustee against any tax, fee or other charge imposed on or assessed against the cash or non-callable Government Securities deposited pursuant to Section 7.04 or the principal and interest received in respect thereof other than any such tax, fee or other charge which by law is for the account of the Holders of the outstanding Notes.</w:t>
      </w:r>
    </w:p>
    <w:p>
      <w:pPr>
        <w:spacing w:after="0" w:line="170"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Notwithstanding anything in this Article 7 to the contrary, the Trustee will deliver or pay to the Company from time to time upon the request of the Company any money or non-callable Government Securities held by it as provided in Section 7.04 which, in the opinion of a nationally recognized firm of independent public accountants expressed in a written certification thereof delivered to the Trustee (which may be the opinion delivered under Section 7.04(1)), are in excess of the amount thereof that would then be required to be deposited to effect an equivalent Legal Defeasance or Covenant Defeasance.</w:t>
      </w:r>
    </w:p>
    <w:p>
      <w:pPr>
        <w:spacing w:after="0" w:line="195"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7.06</w:t>
      </w:r>
      <w:r>
        <w:rPr>
          <w:sz w:val="20"/>
          <w:szCs w:val="20"/>
          <w:color w:val="auto"/>
        </w:rPr>
        <w:tab/>
      </w:r>
      <w:r>
        <w:rPr>
          <w:rFonts w:ascii="Arial" w:cs="Arial" w:eastAsia="Arial" w:hAnsi="Arial"/>
          <w:sz w:val="16"/>
          <w:szCs w:val="16"/>
          <w:i w:val="1"/>
          <w:iCs w:val="1"/>
          <w:color w:val="auto"/>
        </w:rPr>
        <w:t>Repayment to Company.</w:t>
      </w:r>
    </w:p>
    <w:p>
      <w:pPr>
        <w:spacing w:after="0" w:line="216"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Subject to the requirements of applicable law, any monies deposited with or paid to the Trustee for payment of the principal of or interest on the Notes and not applied but remaining unclaimed by the Holders of the Notes for two years after the date upon which the principal of or interest on such Notes, as the case may be, shall have become due and payable, shall be repaid to the Company by the Trustee on demand, and all liability of the Trustee shall thereupon cease with respect to such monies; and the Holder of any of the Notes shall thereafter look only to the Company for any payment or delivery that such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366" w:right="239" w:bottom="1440" w:gutter="0" w:footer="0" w:header="0"/>
        </w:sectPr>
      </w:pPr>
    </w:p>
    <w:bookmarkStart w:id="46" w:name="page47"/>
    <w:bookmarkEnd w:id="46"/>
    <w:p>
      <w:pPr>
        <w:spacing w:after="0"/>
        <w:rPr>
          <w:sz w:val="20"/>
          <w:szCs w:val="20"/>
          <w:color w:val="auto"/>
        </w:rPr>
      </w:pPr>
      <w:r>
        <w:rPr>
          <w:rFonts w:ascii="Arial" w:cs="Arial" w:eastAsia="Arial" w:hAnsi="Arial"/>
          <w:sz w:val="20"/>
          <w:szCs w:val="20"/>
          <w:color w:val="auto"/>
        </w:rPr>
        <w:t>Holder of the Notes may be entitled to collect unless an applicable abandoned property law designates another person.</w:t>
      </w:r>
    </w:p>
    <w:p>
      <w:pPr>
        <w:spacing w:after="0" w:line="216"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7.07</w:t>
      </w:r>
      <w:r>
        <w:rPr>
          <w:sz w:val="20"/>
          <w:szCs w:val="20"/>
          <w:color w:val="auto"/>
        </w:rPr>
        <w:tab/>
      </w:r>
      <w:r>
        <w:rPr>
          <w:rFonts w:ascii="Arial" w:cs="Arial" w:eastAsia="Arial" w:hAnsi="Arial"/>
          <w:sz w:val="16"/>
          <w:szCs w:val="16"/>
          <w:i w:val="1"/>
          <w:iCs w:val="1"/>
          <w:color w:val="auto"/>
        </w:rPr>
        <w:t>Reinstatement.</w:t>
      </w:r>
    </w:p>
    <w:p>
      <w:pPr>
        <w:spacing w:after="0" w:line="216" w:lineRule="exact"/>
        <w:rPr>
          <w:sz w:val="20"/>
          <w:szCs w:val="20"/>
          <w:color w:val="auto"/>
        </w:rPr>
      </w:pPr>
    </w:p>
    <w:p>
      <w:pPr>
        <w:ind w:firstLine="648"/>
        <w:spacing w:after="0" w:line="313" w:lineRule="auto"/>
        <w:rPr>
          <w:sz w:val="20"/>
          <w:szCs w:val="20"/>
          <w:color w:val="auto"/>
        </w:rPr>
      </w:pPr>
      <w:r>
        <w:rPr>
          <w:rFonts w:ascii="Arial" w:cs="Arial" w:eastAsia="Arial" w:hAnsi="Arial"/>
          <w:sz w:val="16"/>
          <w:szCs w:val="16"/>
          <w:color w:val="auto"/>
        </w:rPr>
        <w:t xml:space="preserve">If the Trustee or Paying Agent is unable to apply any U.S. dollars or non-callable Government Securities in accordance with Section 7.02 or 7.03, as the case may be, by reason of any order or judgment of any court or governmental authority enjoining, restraining or otherwise prohibiting such application, then the Company’s and the Guarantors’ obligations under the Indenture and the Notes and the Note Guarantees will be revived and reinstated as though no deposit had occurred pursuant to Section 7.02 or 7.03 until such time as the Trustee or Paying Agent is permitted to apply all such money in accordance with Section 7.02 or 7.03,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on, if any, or interest on, any Note following the reinstatement of its obligations, the Company will be subrogated to the rights of the Holders of such Notes to receive such payment from the money held by the Trustee or Paying Agent.</w:t>
      </w:r>
    </w:p>
    <w:p>
      <w:pPr>
        <w:spacing w:after="0" w:line="146"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SATISFACTION AND DISCHARGE</w:t>
      </w:r>
    </w:p>
    <w:p>
      <w:pPr>
        <w:spacing w:after="0" w:line="229"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 xml:space="preserve">Section 8.01 </w:t>
      </w:r>
      <w:r>
        <w:rPr>
          <w:rFonts w:ascii="Arial" w:cs="Arial" w:eastAsia="Arial" w:hAnsi="Arial"/>
          <w:sz w:val="20"/>
          <w:szCs w:val="20"/>
          <w:i w:val="1"/>
          <w:iCs w:val="1"/>
          <w:color w:val="auto"/>
        </w:rPr>
        <w:t>Satisfaction and Discharge of the Supplemental Indenture.</w:t>
      </w:r>
      <w:r>
        <w:rPr>
          <w:rFonts w:ascii="Arial" w:cs="Arial" w:eastAsia="Arial" w:hAnsi="Arial"/>
          <w:sz w:val="20"/>
          <w:szCs w:val="20"/>
          <w:color w:val="auto"/>
        </w:rPr>
        <w:t xml:space="preserve"> Articles VIII and XI of the Original Indenture shall not apply to the Notes. Instead, the satisfaction and discharge provisions set forth in this Article 8 shall, with respect to the Notes, supersede in their entirety Articles VIII and XI of the Original Indenture, and all references in the Original Indenture to Articles VIII and XI thereof and satisfaction and discharge provisions therein, as the case may be, shall, with respect to the Notes, be deemed to be references to this Article 9 and the satisfaction and discharge provisions set forth in this Article 8, respectively.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will be discharged with respect to the Notes and will cease to be of further effect as to all Notes issued hereunder, when:</w:t>
      </w:r>
    </w:p>
    <w:p>
      <w:pPr>
        <w:spacing w:after="0" w:line="239"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either:</w:t>
      </w:r>
    </w:p>
    <w:p>
      <w:pPr>
        <w:spacing w:after="0" w:line="216" w:lineRule="exact"/>
        <w:rPr>
          <w:sz w:val="20"/>
          <w:szCs w:val="20"/>
          <w:color w:val="auto"/>
        </w:rPr>
      </w:pPr>
    </w:p>
    <w:p>
      <w:pPr>
        <w:ind w:left="540" w:right="200" w:firstLine="1953"/>
        <w:spacing w:after="0" w:line="250" w:lineRule="auto"/>
        <w:tabs>
          <w:tab w:leader="none" w:pos="2884" w:val="left"/>
        </w:tabs>
        <w:numPr>
          <w:ilvl w:val="1"/>
          <w:numId w:val="63"/>
        </w:numPr>
        <w:rPr>
          <w:rFonts w:ascii="Arial" w:cs="Arial" w:eastAsia="Arial" w:hAnsi="Arial"/>
          <w:sz w:val="20"/>
          <w:szCs w:val="20"/>
          <w:color w:val="auto"/>
        </w:rPr>
      </w:pPr>
      <w:r>
        <w:rPr>
          <w:rFonts w:ascii="Arial" w:cs="Arial" w:eastAsia="Arial" w:hAnsi="Arial"/>
          <w:sz w:val="20"/>
          <w:szCs w:val="20"/>
          <w:color w:val="auto"/>
        </w:rPr>
        <w:t>all Notes that have been authenticated, except lost, stolen or destroyed Notes that have been replaced or paid and Notes for whose payment money has been deposited in trust and thereafter repaid to the Company, have been delivered to the Trustee for cancellation; or</w:t>
      </w:r>
    </w:p>
    <w:p>
      <w:pPr>
        <w:spacing w:after="0" w:line="186" w:lineRule="exact"/>
        <w:rPr>
          <w:rFonts w:ascii="Arial" w:cs="Arial" w:eastAsia="Arial" w:hAnsi="Arial"/>
          <w:sz w:val="20"/>
          <w:szCs w:val="20"/>
          <w:color w:val="auto"/>
        </w:rPr>
      </w:pPr>
    </w:p>
    <w:p>
      <w:pPr>
        <w:ind w:left="540" w:right="20" w:firstLine="1953"/>
        <w:spacing w:after="0" w:line="242" w:lineRule="auto"/>
        <w:tabs>
          <w:tab w:leader="none" w:pos="2895" w:val="left"/>
        </w:tabs>
        <w:numPr>
          <w:ilvl w:val="1"/>
          <w:numId w:val="63"/>
        </w:numPr>
        <w:rPr>
          <w:rFonts w:ascii="Arial" w:cs="Arial" w:eastAsia="Arial" w:hAnsi="Arial"/>
          <w:sz w:val="20"/>
          <w:szCs w:val="20"/>
          <w:color w:val="auto"/>
        </w:rPr>
      </w:pPr>
      <w:r>
        <w:rPr>
          <w:rFonts w:ascii="Arial" w:cs="Arial" w:eastAsia="Arial" w:hAnsi="Arial"/>
          <w:sz w:val="20"/>
          <w:szCs w:val="20"/>
          <w:color w:val="auto"/>
        </w:rPr>
        <w:t>all Notes that have not been delivered to the Trustee for cancellation have become due and payable by reason of the giving of a notice of redemption or otherwise or will become due and payable within one year or are to be called for redemption within one year and the Company or any Guarantor has irrevocably deposited or caused to be deposited with the Trustee as trust funds in trust solely for the benefit of the Holders, cash in U.S. dollars, non-callable Government Securities, or a combination thereof, in amounts as will be sufficient, in the opinion of a nationally recognized investment bank, appraisal firm or firm of independent public accountants, without consideration of any reinvestment of interest, to pay and discharge the entire Indebtedness on the Notes not delivered to the Trustee for cancellation for principal of, premium on, if any, and interest on, the Notes to the date of maturity or redemption;</w:t>
      </w:r>
    </w:p>
    <w:p>
      <w:pPr>
        <w:spacing w:after="0" w:line="197" w:lineRule="exact"/>
        <w:rPr>
          <w:rFonts w:ascii="Arial" w:cs="Arial" w:eastAsia="Arial" w:hAnsi="Arial"/>
          <w:sz w:val="20"/>
          <w:szCs w:val="20"/>
          <w:color w:val="auto"/>
        </w:rPr>
      </w:pPr>
    </w:p>
    <w:p>
      <w:pPr>
        <w:ind w:right="220" w:firstLine="1305"/>
        <w:spacing w:after="0" w:line="260" w:lineRule="auto"/>
        <w:tabs>
          <w:tab w:leader="none" w:pos="1707"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 respect of clause 1(b), no Default or Event of Default has occurred and is continuing on the date of the deposit (other than a Default or Event of Default resulting from the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00"/>
          </w:cols>
          <w:pgMar w:left="240" w:top="366" w:right="259" w:bottom="1440" w:gutter="0" w:footer="0" w:header="0"/>
        </w:sectPr>
      </w:pPr>
    </w:p>
    <w:bookmarkStart w:id="47" w:name="page48"/>
    <w:bookmarkEnd w:id="47"/>
    <w:p>
      <w:pPr>
        <w:ind w:right="20"/>
        <w:spacing w:after="0" w:line="260" w:lineRule="auto"/>
        <w:rPr>
          <w:sz w:val="20"/>
          <w:szCs w:val="20"/>
          <w:color w:val="auto"/>
        </w:rPr>
      </w:pPr>
      <w:r>
        <w:rPr>
          <w:rFonts w:ascii="Arial" w:cs="Arial" w:eastAsia="Arial" w:hAnsi="Arial"/>
          <w:sz w:val="19"/>
          <w:szCs w:val="19"/>
          <w:color w:val="auto"/>
        </w:rPr>
        <w:t>borrowing of funds to be applied to such deposit and any similar deposit relating to other Indebtedness and, in each case, the granting of Liens to secure such borrowings) and the deposit will not result in a breach or violation of, or constitute a default under, any other material instrument to which the Company or any Guarantor is a party or by which the Company or any Guarantor is bound (other than with respect to the borrowing of funds to be applied concurrently to make the deposit required to effect such satisfaction and discharge and any similar concurrent deposit relating to other Indebtedness, and in each case the granting of Liens to secure such borrowings);</w:t>
      </w:r>
    </w:p>
    <w:p>
      <w:pPr>
        <w:spacing w:after="0" w:line="181" w:lineRule="exact"/>
        <w:rPr>
          <w:sz w:val="20"/>
          <w:szCs w:val="20"/>
          <w:color w:val="auto"/>
        </w:rPr>
      </w:pPr>
    </w:p>
    <w:p>
      <w:pPr>
        <w:jc w:val="right"/>
        <w:spacing w:after="0"/>
        <w:tabs>
          <w:tab w:leader="none" w:pos="966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the Company or any Guarantor has paid or caused to be paid all sums payable by it under the Indenture with respect to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Notes; and</w:t>
      </w:r>
    </w:p>
    <w:p>
      <w:pPr>
        <w:spacing w:after="0" w:line="200" w:lineRule="exact"/>
        <w:rPr>
          <w:sz w:val="20"/>
          <w:szCs w:val="20"/>
          <w:color w:val="auto"/>
        </w:rPr>
      </w:pPr>
    </w:p>
    <w:p>
      <w:pPr>
        <w:ind w:right="500" w:firstLine="1305"/>
        <w:spacing w:after="0" w:line="260" w:lineRule="auto"/>
        <w:tabs>
          <w:tab w:leader="none" w:pos="1707"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Company has delivered irrevocable instructions to the Trustee under the Indenture to apply the deposited money toward the payment of the Notes at maturity or on the redemption date, as the case may be.</w:t>
      </w:r>
    </w:p>
    <w:p>
      <w:pPr>
        <w:spacing w:after="0" w:line="177"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In addition, the Company must deliver an Officer’s Certificate and an Opinion of Counsel to the Trustee stating that all conditions precedent to satisfaction and discharge have been satisfied.</w:t>
      </w:r>
    </w:p>
    <w:p>
      <w:pPr>
        <w:spacing w:after="0" w:line="177"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Notwithstanding the satisfaction and discharge of the Indenture, if money has been deposited with the Trustee pursuant to subclause (b) of clause (1) of this Section 8.01, the provisions of Sections 8.02 and 7.06 will survive. In addition, nothing in this Section 8.01 will be deemed to discharge those provisions of Section 7.6 of the Original Indenture, that, by their terms, survive the satisfaction and discharge of the Indenture.</w:t>
      </w:r>
    </w:p>
    <w:p>
      <w:pPr>
        <w:spacing w:after="0" w:line="192"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8.02</w:t>
      </w:r>
      <w:r>
        <w:rPr>
          <w:sz w:val="20"/>
          <w:szCs w:val="20"/>
          <w:color w:val="auto"/>
        </w:rPr>
        <w:tab/>
      </w:r>
      <w:r>
        <w:rPr>
          <w:rFonts w:ascii="Arial" w:cs="Arial" w:eastAsia="Arial" w:hAnsi="Arial"/>
          <w:sz w:val="18"/>
          <w:szCs w:val="18"/>
          <w:i w:val="1"/>
          <w:iCs w:val="1"/>
          <w:color w:val="auto"/>
        </w:rPr>
        <w:t>Application of Trust Money.</w:t>
      </w:r>
    </w:p>
    <w:p>
      <w:pPr>
        <w:spacing w:after="0" w:line="216" w:lineRule="exact"/>
        <w:rPr>
          <w:sz w:val="20"/>
          <w:szCs w:val="20"/>
          <w:color w:val="auto"/>
        </w:rPr>
      </w:pPr>
    </w:p>
    <w:p>
      <w:pPr>
        <w:ind w:right="360" w:firstLine="648"/>
        <w:spacing w:after="0" w:line="244" w:lineRule="auto"/>
        <w:rPr>
          <w:sz w:val="20"/>
          <w:szCs w:val="20"/>
          <w:color w:val="auto"/>
        </w:rPr>
      </w:pPr>
      <w:r>
        <w:rPr>
          <w:rFonts w:ascii="Arial" w:cs="Arial" w:eastAsia="Arial" w:hAnsi="Arial"/>
          <w:sz w:val="20"/>
          <w:szCs w:val="20"/>
          <w:color w:val="auto"/>
        </w:rPr>
        <w:t>Subject to the provisions of Section 7.06, all money deposited with the Trustee pursuant to Section 8.01 shall be held in trust and applied by it, in accordance with the provisions of the Notes and the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95"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 xml:space="preserve">If the Trustee or Paying Agent is unable to apply any money or Government Securities in accordance with Section 8.01 by reason of any legal proceeding or by reason of any order or judgment of any court or governmental authority enjoining, restraining or otherwise prohibiting such application, the Company’s and any Guarantor’s obligations under the Indenture and the Notes shall be revived and reinstated as though no deposit had occurred pursuant to Section 8.01;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Company has made any payment of principal of, premium on, if any, or interest, on, any Notes because of the reinstatement of its obligations, the Company shall be subrogated to the rights of the Holders of such Notes to receive such payment from the money or Government Securities held by the Trustee or Paying Agent.</w:t>
      </w:r>
    </w:p>
    <w:p>
      <w:pPr>
        <w:spacing w:after="0" w:line="168"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 GUARANTEES</w:t>
      </w:r>
    </w:p>
    <w:p>
      <w:pPr>
        <w:spacing w:after="0" w:line="22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9.01</w:t>
      </w:r>
      <w:r>
        <w:rPr>
          <w:sz w:val="20"/>
          <w:szCs w:val="20"/>
          <w:color w:val="auto"/>
        </w:rPr>
        <w:tab/>
      </w:r>
      <w:r>
        <w:rPr>
          <w:rFonts w:ascii="Arial" w:cs="Arial" w:eastAsia="Arial" w:hAnsi="Arial"/>
          <w:sz w:val="16"/>
          <w:szCs w:val="16"/>
          <w:i w:val="1"/>
          <w:iCs w:val="1"/>
          <w:color w:val="auto"/>
        </w:rPr>
        <w:t>Guarantee.</w:t>
      </w:r>
    </w:p>
    <w:p>
      <w:pPr>
        <w:spacing w:after="0" w:line="216"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Subject to this Article 9, each of the Guarantors hereby, jointly and severally, unconditionally guarantees to each Holder of a Note authenticated and delivered by the Trustee and to the Trustee and its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00"/>
          </w:cols>
          <w:pgMar w:left="240" w:top="366" w:right="259" w:bottom="1440" w:gutter="0" w:footer="0" w:header="0"/>
        </w:sectPr>
      </w:pPr>
    </w:p>
    <w:bookmarkStart w:id="48" w:name="page49"/>
    <w:bookmarkEnd w:id="48"/>
    <w:p>
      <w:pPr>
        <w:ind w:right="180"/>
        <w:spacing w:after="0" w:line="260" w:lineRule="auto"/>
        <w:rPr>
          <w:sz w:val="20"/>
          <w:szCs w:val="20"/>
          <w:color w:val="auto"/>
        </w:rPr>
      </w:pPr>
      <w:r>
        <w:rPr>
          <w:rFonts w:ascii="Arial" w:cs="Arial" w:eastAsia="Arial" w:hAnsi="Arial"/>
          <w:sz w:val="20"/>
          <w:szCs w:val="20"/>
          <w:color w:val="auto"/>
        </w:rPr>
        <w:t>successors and assigns, irrespective of the validity and enforceability of the Indenture, the Notes or the obligations of the Company hereunder or thereunder, that:</w:t>
      </w:r>
    </w:p>
    <w:p>
      <w:pPr>
        <w:spacing w:after="0" w:line="177" w:lineRule="exact"/>
        <w:rPr>
          <w:sz w:val="20"/>
          <w:szCs w:val="20"/>
          <w:color w:val="auto"/>
        </w:rPr>
      </w:pPr>
    </w:p>
    <w:p>
      <w:pPr>
        <w:ind w:left="660" w:right="160" w:firstLine="645"/>
        <w:spacing w:after="0" w:line="263" w:lineRule="auto"/>
        <w:tabs>
          <w:tab w:leader="none" w:pos="1768"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principal of, premium on, if any, and interest, on, the Notes will be promptly paid in full when due, whether at maturity, by acceleration, redemption or otherwise, and interest on the overdue principal of, premium on, if any, and interest, on, the Notes, if lawful, and all other obligations of the Company to the Holders or the Trustee hereunder or thereunder will be promptly paid in full or performed, all in accordance with the terms hereof and thereof; and</w:t>
      </w:r>
    </w:p>
    <w:p>
      <w:pPr>
        <w:spacing w:after="0" w:line="176" w:lineRule="exact"/>
        <w:rPr>
          <w:rFonts w:ascii="Arial" w:cs="Arial" w:eastAsia="Arial" w:hAnsi="Arial"/>
          <w:sz w:val="19"/>
          <w:szCs w:val="19"/>
          <w:color w:val="auto"/>
        </w:rPr>
      </w:pPr>
    </w:p>
    <w:p>
      <w:pPr>
        <w:ind w:left="660" w:right="200" w:firstLine="645"/>
        <w:spacing w:after="0" w:line="250" w:lineRule="auto"/>
        <w:tabs>
          <w:tab w:leader="none" w:pos="1719"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86"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86" w:lineRule="exact"/>
        <w:rPr>
          <w:sz w:val="20"/>
          <w:szCs w:val="20"/>
          <w:color w:val="auto"/>
        </w:rPr>
      </w:pPr>
    </w:p>
    <w:p>
      <w:pPr>
        <w:ind w:firstLine="656"/>
        <w:spacing w:after="0" w:line="274" w:lineRule="auto"/>
        <w:tabs>
          <w:tab w:leader="none" w:pos="10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Guarantors hereby agree that their obligations hereunder are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Note Guarantee will not be discharged except by complete performance of the Obligations contained in the Notes and the Indenture.</w:t>
      </w:r>
    </w:p>
    <w:p>
      <w:pPr>
        <w:spacing w:after="0" w:line="169" w:lineRule="exact"/>
        <w:rPr>
          <w:rFonts w:ascii="Arial" w:cs="Arial" w:eastAsia="Arial" w:hAnsi="Arial"/>
          <w:sz w:val="18"/>
          <w:szCs w:val="18"/>
          <w:color w:val="auto"/>
        </w:rPr>
      </w:pPr>
    </w:p>
    <w:p>
      <w:pPr>
        <w:ind w:right="200" w:firstLine="656"/>
        <w:spacing w:after="0" w:line="291" w:lineRule="auto"/>
        <w:tabs>
          <w:tab w:leader="none" w:pos="10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Note Guarantee, to the extent theretofore discharged, will be reinstated in full force and effect.</w:t>
      </w:r>
    </w:p>
    <w:p>
      <w:pPr>
        <w:spacing w:after="0" w:line="151" w:lineRule="exact"/>
        <w:rPr>
          <w:rFonts w:ascii="Arial" w:cs="Arial" w:eastAsia="Arial" w:hAnsi="Arial"/>
          <w:sz w:val="18"/>
          <w:szCs w:val="18"/>
          <w:color w:val="auto"/>
        </w:rPr>
      </w:pPr>
    </w:p>
    <w:p>
      <w:pPr>
        <w:ind w:firstLine="656"/>
        <w:spacing w:after="0" w:line="273" w:lineRule="auto"/>
        <w:tabs>
          <w:tab w:leader="none" w:pos="10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for the purposes of such Guarantor’s Note Guarantee, notwithstanding any stay, injunction or other prohibition preventing such acceleration in respect of the obligations guaranteed hereby, and (2) in the event of any declaration of acceleration of such obligations as provided in Article 6, such obligations (whether or not due and payable) will forthwith become due and payable by the Guarantors for the purpose of such Guarantor’s Note Guarantee. The Guarantors will have the right to seek contribution from any non-paying Guarantor so long as the exercise of such right does not impair the rights of the Holders under the Note Guarantee.</w:t>
      </w:r>
    </w:p>
    <w:p>
      <w:pPr>
        <w:spacing w:after="0" w:line="16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9.02</w:t>
      </w:r>
      <w:r>
        <w:rPr>
          <w:sz w:val="20"/>
          <w:szCs w:val="20"/>
          <w:color w:val="auto"/>
        </w:rPr>
        <w:tab/>
      </w:r>
      <w:r>
        <w:rPr>
          <w:rFonts w:ascii="Arial" w:cs="Arial" w:eastAsia="Arial" w:hAnsi="Arial"/>
          <w:sz w:val="18"/>
          <w:szCs w:val="18"/>
          <w:i w:val="1"/>
          <w:iCs w:val="1"/>
          <w:color w:val="auto"/>
        </w:rPr>
        <w:t>[RESERVED].</w:t>
      </w:r>
    </w:p>
    <w:p>
      <w:pPr>
        <w:spacing w:after="0" w:line="216"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9.03</w:t>
      </w:r>
      <w:r>
        <w:rPr>
          <w:sz w:val="20"/>
          <w:szCs w:val="20"/>
          <w:color w:val="auto"/>
        </w:rPr>
        <w:tab/>
      </w:r>
      <w:r>
        <w:rPr>
          <w:rFonts w:ascii="Arial" w:cs="Arial" w:eastAsia="Arial" w:hAnsi="Arial"/>
          <w:sz w:val="18"/>
          <w:szCs w:val="18"/>
          <w:i w:val="1"/>
          <w:iCs w:val="1"/>
          <w:color w:val="auto"/>
        </w:rPr>
        <w:t>Limitation on Guarantor Liability.</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366" w:right="239" w:bottom="1440" w:gutter="0" w:footer="0" w:header="0"/>
        </w:sectPr>
      </w:pPr>
    </w:p>
    <w:bookmarkStart w:id="49" w:name="page50"/>
    <w:bookmarkEnd w:id="49"/>
    <w:p>
      <w:pPr>
        <w:ind w:right="100" w:firstLine="648"/>
        <w:spacing w:after="0" w:line="271" w:lineRule="auto"/>
        <w:rPr>
          <w:sz w:val="20"/>
          <w:szCs w:val="20"/>
          <w:color w:val="auto"/>
        </w:rPr>
      </w:pPr>
      <w:r>
        <w:rPr>
          <w:rFonts w:ascii="Arial" w:cs="Arial" w:eastAsia="Arial" w:hAnsi="Arial"/>
          <w:sz w:val="18"/>
          <w:szCs w:val="18"/>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9, result in the obligations of such Guarantor under its Note Guarantee not constituting a fraudulent transfer or conveyance. Each Guarantor that makes a payment under its Note Guarantee will be entitled upon payment in full of all Guaranteed Obligations under the Indenture to a contribution from each other Guarantor in an amount equal to such other Guarantor’s pro rata portion of such payment based on the respective net assets of all the Guarantors at the time of such payment, determined in accordance with GAAP.</w:t>
      </w:r>
    </w:p>
    <w:p>
      <w:pPr>
        <w:spacing w:after="0" w:line="171"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9.04</w:t>
      </w:r>
      <w:r>
        <w:rPr>
          <w:sz w:val="20"/>
          <w:szCs w:val="20"/>
          <w:color w:val="auto"/>
        </w:rPr>
        <w:tab/>
      </w:r>
      <w:r>
        <w:rPr>
          <w:rFonts w:ascii="Arial" w:cs="Arial" w:eastAsia="Arial" w:hAnsi="Arial"/>
          <w:sz w:val="18"/>
          <w:szCs w:val="18"/>
          <w:i w:val="1"/>
          <w:iCs w:val="1"/>
          <w:color w:val="auto"/>
        </w:rPr>
        <w:t>Execution and Delivery.</w:t>
      </w:r>
    </w:p>
    <w:p>
      <w:pPr>
        <w:spacing w:after="0" w:line="216" w:lineRule="exact"/>
        <w:rPr>
          <w:sz w:val="20"/>
          <w:szCs w:val="20"/>
          <w:color w:val="auto"/>
        </w:rPr>
      </w:pPr>
    </w:p>
    <w:p>
      <w:pPr>
        <w:ind w:right="600" w:firstLine="648"/>
        <w:spacing w:after="0" w:line="260" w:lineRule="auto"/>
        <w:rPr>
          <w:sz w:val="20"/>
          <w:szCs w:val="20"/>
          <w:color w:val="auto"/>
        </w:rPr>
      </w:pPr>
      <w:r>
        <w:rPr>
          <w:rFonts w:ascii="Arial" w:cs="Arial" w:eastAsia="Arial" w:hAnsi="Arial"/>
          <w:sz w:val="20"/>
          <w:szCs w:val="20"/>
          <w:color w:val="auto"/>
        </w:rPr>
        <w:t>To evidence its Note Guarantee set forth in Section 9.01, each Guarantor hereby agrees that this Supplemental Indenture will be executed on behalf of such Guarantor by one of its Officers.</w:t>
      </w:r>
    </w:p>
    <w:p>
      <w:pPr>
        <w:spacing w:after="0" w:line="177"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Each Guarantor hereby agrees that its Note Guarantee set forth in Section 9.01 will remain in full force and effect notwithstanding the absence of the endorsement of any notation of such Guarantee on the Notes.</w:t>
      </w:r>
    </w:p>
    <w:p>
      <w:pPr>
        <w:spacing w:after="0" w:line="177"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If an Officer whose signature is on this Supplemental Indenture no longer holds that office at the time the Trustee authenticates the Notes, the Note Guarantee will be valid nevertheless.</w:t>
      </w:r>
    </w:p>
    <w:p>
      <w:pPr>
        <w:spacing w:after="0" w:line="177"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The delivery of any Note by the Trustee, after the authentication thereof hereunder, will constitute due delivery of the Note Guarantee set forth in this Supplemental Indenture on behalf of the Guarantors.</w:t>
      </w:r>
    </w:p>
    <w:p>
      <w:pPr>
        <w:spacing w:after="0" w:line="177"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In the event that the Company or any of its Subsidiaries creates or acquires any Domestic Subsidiary after the Issue Date, if required by Section 4.06, the Company will cause such Domestic Subsidiary to comply with the provisions of Section 4.06 and this Article 9, to the extent applicable.</w:t>
      </w:r>
    </w:p>
    <w:p>
      <w:pPr>
        <w:spacing w:after="0" w:line="186"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9.05</w:t>
      </w:r>
      <w:r>
        <w:rPr>
          <w:sz w:val="20"/>
          <w:szCs w:val="20"/>
          <w:color w:val="auto"/>
        </w:rPr>
        <w:tab/>
      </w:r>
      <w:r>
        <w:rPr>
          <w:rFonts w:ascii="Arial" w:cs="Arial" w:eastAsia="Arial" w:hAnsi="Arial"/>
          <w:sz w:val="18"/>
          <w:szCs w:val="18"/>
          <w:i w:val="1"/>
          <w:iCs w:val="1"/>
          <w:color w:val="auto"/>
        </w:rPr>
        <w:t>Guarantors May Consolidate, etc., on Certain Terms.</w:t>
      </w:r>
    </w:p>
    <w:p>
      <w:pPr>
        <w:spacing w:after="0" w:line="216" w:lineRule="exact"/>
        <w:rPr>
          <w:sz w:val="20"/>
          <w:szCs w:val="20"/>
          <w:color w:val="auto"/>
        </w:rPr>
      </w:pPr>
    </w:p>
    <w:p>
      <w:pPr>
        <w:ind w:right="180" w:firstLine="648"/>
        <w:spacing w:after="0" w:line="316" w:lineRule="auto"/>
        <w:rPr>
          <w:sz w:val="20"/>
          <w:szCs w:val="20"/>
          <w:color w:val="auto"/>
        </w:rPr>
      </w:pPr>
      <w:r>
        <w:rPr>
          <w:rFonts w:ascii="Arial" w:cs="Arial" w:eastAsia="Arial" w:hAnsi="Arial"/>
          <w:sz w:val="18"/>
          <w:szCs w:val="18"/>
          <w:color w:val="auto"/>
        </w:rPr>
        <w:t>Subject to Section 9.06, a Guarantor may not sell or otherwise dispose of all or substantially all of its assets to, or consolidate with or merge with or into another Person other than the Company or another Guarantor unless, immediately after giving effect to such transaction:</w:t>
      </w:r>
    </w:p>
    <w:p>
      <w:pPr>
        <w:spacing w:after="0" w:line="130" w:lineRule="exact"/>
        <w:rPr>
          <w:sz w:val="20"/>
          <w:szCs w:val="20"/>
          <w:color w:val="auto"/>
        </w:rPr>
      </w:pPr>
    </w:p>
    <w:p>
      <w:pPr>
        <w:ind w:right="80" w:firstLine="1088"/>
        <w:spacing w:after="0" w:line="321" w:lineRule="auto"/>
        <w:tabs>
          <w:tab w:leader="none" w:pos="14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such Guarantor shall be the surviving Person or the surviving Person (if other than such Guarantor) (such Guarantor or such surviving Person, as the case may be, the “</w:t>
      </w:r>
      <w:r>
        <w:rPr>
          <w:rFonts w:ascii="Arial" w:cs="Arial" w:eastAsia="Arial" w:hAnsi="Arial"/>
          <w:sz w:val="16"/>
          <w:szCs w:val="16"/>
          <w:b w:val="1"/>
          <w:bCs w:val="1"/>
          <w:i w:val="1"/>
          <w:iCs w:val="1"/>
          <w:color w:val="auto"/>
        </w:rPr>
        <w:t>Surviving Guarantor</w:t>
      </w:r>
      <w:r>
        <w:rPr>
          <w:rFonts w:ascii="Arial" w:cs="Arial" w:eastAsia="Arial" w:hAnsi="Arial"/>
          <w:sz w:val="16"/>
          <w:szCs w:val="16"/>
          <w:color w:val="auto"/>
        </w:rPr>
        <w:t>”) formed by such merger, consolidation or amalgamation shall expressly assume, by supplemental indenture in form reasonably satisfactory to the Trustee, executed and delivered to the Trustee by such surviving Person, the due and punctual payment of the principal of, and premium, if any, and interest on, the notes, according to their tenor, and the due and punctual performance and observance of all the covenants and conditions of the Indenture to be performed by such Guarantor;</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380"/>
          </w:cols>
          <w:pgMar w:left="240" w:top="366" w:right="279" w:bottom="1440" w:gutter="0" w:footer="0" w:header="0"/>
        </w:sectPr>
      </w:pPr>
    </w:p>
    <w:bookmarkStart w:id="50" w:name="page51"/>
    <w:bookmarkEnd w:id="50"/>
    <w:p>
      <w:pPr>
        <w:ind w:right="200" w:firstLine="1088"/>
        <w:spacing w:after="0" w:line="386" w:lineRule="auto"/>
        <w:tabs>
          <w:tab w:leader="none" w:pos="149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 shall deliver, or cause to be delivered, to the Trustee an officer’s certificate and an opinion of counsel, each stating that all conditions precedent provided for in the indenture relating to such transaction or series of transactions have been satisfied; and</w:t>
      </w:r>
    </w:p>
    <w:p>
      <w:pPr>
        <w:spacing w:after="0" w:line="83" w:lineRule="exact"/>
        <w:rPr>
          <w:rFonts w:ascii="Arial" w:cs="Arial" w:eastAsia="Arial" w:hAnsi="Arial"/>
          <w:sz w:val="16"/>
          <w:szCs w:val="16"/>
          <w:color w:val="auto"/>
        </w:rPr>
      </w:pPr>
    </w:p>
    <w:p>
      <w:pPr>
        <w:ind w:right="300" w:firstLine="1088"/>
        <w:spacing w:after="0" w:line="260" w:lineRule="auto"/>
        <w:tabs>
          <w:tab w:leader="none" w:pos="1480" w:val="left"/>
        </w:tabs>
        <w:numPr>
          <w:ilvl w:val="0"/>
          <w:numId w:val="69"/>
        </w:numPr>
        <w:rPr>
          <w:rFonts w:ascii="Arial" w:cs="Arial" w:eastAsia="Arial" w:hAnsi="Arial"/>
          <w:sz w:val="20"/>
          <w:szCs w:val="20"/>
          <w:color w:val="auto"/>
        </w:rPr>
      </w:pPr>
      <w:r>
        <w:rPr>
          <w:rFonts w:ascii="Arial" w:cs="Arial" w:eastAsia="Arial" w:hAnsi="Arial"/>
          <w:sz w:val="20"/>
          <w:szCs w:val="20"/>
          <w:color w:val="auto"/>
        </w:rPr>
        <w:t>immediately before and after giving effect to such transaction or series of transactions on a pro forma basis, no Default or Event of Default shall have occurred and be continuing.</w:t>
      </w:r>
    </w:p>
    <w:p>
      <w:pPr>
        <w:spacing w:after="0" w:line="177"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The Surviving Guarantor shall succeed to, and be substituted for, and may exercise every right and power of such Guarantor under the Indenture.</w:t>
      </w:r>
    </w:p>
    <w:p>
      <w:pPr>
        <w:spacing w:after="0" w:line="177"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Except as set forth in Articles 4 and 5, and notwithstanding the foregoing, any Guarantor may (i) merge into or transfer all or part of its properties and assets to another Guarantor or the Company, (ii) merge with an Affiliate of the Company solely for the purpose of reincorporating or reorganizing the Guarantor in the United States, any state thereof, the District of Columbia or any territory thereof or (iii) convert into a Person organized or existing under the laws of a jurisdiction in the United States.</w:t>
      </w:r>
    </w:p>
    <w:p>
      <w:pPr>
        <w:spacing w:after="0" w:line="192"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9.06</w:t>
      </w:r>
      <w:r>
        <w:rPr>
          <w:sz w:val="20"/>
          <w:szCs w:val="20"/>
          <w:color w:val="auto"/>
        </w:rPr>
        <w:tab/>
      </w:r>
      <w:r>
        <w:rPr>
          <w:rFonts w:ascii="Arial" w:cs="Arial" w:eastAsia="Arial" w:hAnsi="Arial"/>
          <w:sz w:val="16"/>
          <w:szCs w:val="16"/>
          <w:i w:val="1"/>
          <w:iCs w:val="1"/>
          <w:color w:val="auto"/>
        </w:rPr>
        <w:t>Releases.</w:t>
      </w:r>
    </w:p>
    <w:p>
      <w:pPr>
        <w:spacing w:after="0" w:line="216" w:lineRule="exact"/>
        <w:rPr>
          <w:sz w:val="20"/>
          <w:szCs w:val="20"/>
          <w:color w:val="auto"/>
        </w:rPr>
      </w:pPr>
    </w:p>
    <w:p>
      <w:pPr>
        <w:ind w:left="1480" w:hanging="392"/>
        <w:spacing w:after="0"/>
        <w:tabs>
          <w:tab w:leader="none" w:pos="14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Note Guarantee of a Guarantor will be automatically and unconditionally released and discharged:</w:t>
      </w:r>
    </w:p>
    <w:p>
      <w:pPr>
        <w:spacing w:after="0" w:line="215" w:lineRule="exact"/>
        <w:rPr>
          <w:rFonts w:ascii="Arial" w:cs="Arial" w:eastAsia="Arial" w:hAnsi="Arial"/>
          <w:sz w:val="20"/>
          <w:szCs w:val="20"/>
          <w:color w:val="auto"/>
        </w:rPr>
      </w:pPr>
    </w:p>
    <w:p>
      <w:pPr>
        <w:ind w:firstLine="1305"/>
        <w:spacing w:after="0" w:line="287" w:lineRule="auto"/>
        <w:tabs>
          <w:tab w:leader="none" w:pos="1707" w:val="left"/>
        </w:tabs>
        <w:numPr>
          <w:ilvl w:val="1"/>
          <w:numId w:val="70"/>
        </w:numPr>
        <w:rPr>
          <w:rFonts w:ascii="Arial" w:cs="Arial" w:eastAsia="Arial" w:hAnsi="Arial"/>
          <w:sz w:val="19"/>
          <w:szCs w:val="19"/>
          <w:color w:val="auto"/>
        </w:rPr>
      </w:pPr>
      <w:r>
        <w:rPr>
          <w:rFonts w:ascii="Arial" w:cs="Arial" w:eastAsia="Arial" w:hAnsi="Arial"/>
          <w:sz w:val="19"/>
          <w:szCs w:val="19"/>
          <w:color w:val="auto"/>
        </w:rPr>
        <w:t>in connection with any sale or other disposition of all or substantially all of the assets of that Guarantor, by way of merger, consolidation or otherwise, to a Person that is not (either before or after giving effect to such transaction) the Company;</w:t>
      </w:r>
    </w:p>
    <w:p>
      <w:pPr>
        <w:spacing w:after="0" w:line="152" w:lineRule="exact"/>
        <w:rPr>
          <w:rFonts w:ascii="Arial" w:cs="Arial" w:eastAsia="Arial" w:hAnsi="Arial"/>
          <w:sz w:val="19"/>
          <w:szCs w:val="19"/>
          <w:color w:val="auto"/>
        </w:rPr>
      </w:pPr>
    </w:p>
    <w:p>
      <w:pPr>
        <w:ind w:firstLine="1305"/>
        <w:spacing w:after="0" w:line="250" w:lineRule="auto"/>
        <w:tabs>
          <w:tab w:leader="none" w:pos="1707" w:val="left"/>
        </w:tabs>
        <w:numPr>
          <w:ilvl w:val="1"/>
          <w:numId w:val="70"/>
        </w:numPr>
        <w:rPr>
          <w:rFonts w:ascii="Arial" w:cs="Arial" w:eastAsia="Arial" w:hAnsi="Arial"/>
          <w:sz w:val="20"/>
          <w:szCs w:val="20"/>
          <w:color w:val="auto"/>
        </w:rPr>
      </w:pPr>
      <w:r>
        <w:rPr>
          <w:rFonts w:ascii="Arial" w:cs="Arial" w:eastAsia="Arial" w:hAnsi="Arial"/>
          <w:sz w:val="20"/>
          <w:szCs w:val="20"/>
          <w:color w:val="auto"/>
        </w:rPr>
        <w:t>in connection with any sale or other disposition of Capital Stock of that Guarantor to a Person that is not (either before or after giving effect to such transaction) the Company or a Subsidiary of the Company, if the Guarantor ceases to be a Subsidiary of the Company as a result of the sale or other disposition;</w:t>
      </w:r>
    </w:p>
    <w:p>
      <w:pPr>
        <w:spacing w:after="0" w:line="186" w:lineRule="exact"/>
        <w:rPr>
          <w:rFonts w:ascii="Arial" w:cs="Arial" w:eastAsia="Arial" w:hAnsi="Arial"/>
          <w:sz w:val="20"/>
          <w:szCs w:val="20"/>
          <w:color w:val="auto"/>
        </w:rPr>
      </w:pPr>
    </w:p>
    <w:p>
      <w:pPr>
        <w:ind w:right="300" w:firstLine="1305"/>
        <w:spacing w:after="0" w:line="246" w:lineRule="auto"/>
        <w:tabs>
          <w:tab w:leader="none" w:pos="1707" w:val="left"/>
        </w:tabs>
        <w:numPr>
          <w:ilvl w:val="1"/>
          <w:numId w:val="70"/>
        </w:numPr>
        <w:rPr>
          <w:rFonts w:ascii="Arial" w:cs="Arial" w:eastAsia="Arial" w:hAnsi="Arial"/>
          <w:sz w:val="20"/>
          <w:szCs w:val="20"/>
          <w:color w:val="auto"/>
        </w:rPr>
      </w:pPr>
      <w:r>
        <w:rPr>
          <w:rFonts w:ascii="Arial" w:cs="Arial" w:eastAsia="Arial" w:hAnsi="Arial"/>
          <w:sz w:val="20"/>
          <w:szCs w:val="20"/>
          <w:color w:val="auto"/>
        </w:rPr>
        <w:t xml:space="preserve">if that Guarantor ceases to be a guarantor or other obligor with respect to any Indebtedness under any Credit Facility;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if, at any time following such release, that Guarantor subsequently guarantees or otherwise becomes an obligor with</w:t>
      </w:r>
      <w:r>
        <w:rPr>
          <w:rFonts w:ascii="Arial" w:cs="Arial" w:eastAsia="Arial" w:hAnsi="Arial"/>
          <w:sz w:val="20"/>
          <w:szCs w:val="20"/>
          <w:i w:val="1"/>
          <w:iCs w:val="1"/>
          <w:color w:val="auto"/>
        </w:rPr>
        <w:t xml:space="preserve"> </w:t>
      </w:r>
      <w:r>
        <w:rPr>
          <w:rFonts w:ascii="Arial" w:cs="Arial" w:eastAsia="Arial" w:hAnsi="Arial"/>
          <w:sz w:val="20"/>
          <w:szCs w:val="20"/>
          <w:color w:val="auto"/>
        </w:rPr>
        <w:t>respect to any Indebtedness of the Company under a Credit Facility, then that Guarantor will be required to provide a Note Guarantee in accordance with Section 4.06;</w:t>
      </w:r>
    </w:p>
    <w:p>
      <w:pPr>
        <w:spacing w:after="0" w:line="191" w:lineRule="exact"/>
        <w:rPr>
          <w:rFonts w:ascii="Arial" w:cs="Arial" w:eastAsia="Arial" w:hAnsi="Arial"/>
          <w:sz w:val="20"/>
          <w:szCs w:val="20"/>
          <w:color w:val="auto"/>
        </w:rPr>
      </w:pPr>
    </w:p>
    <w:p>
      <w:pPr>
        <w:ind w:left="1720" w:hanging="415"/>
        <w:spacing w:after="0"/>
        <w:tabs>
          <w:tab w:leader="none" w:pos="17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upon legal defeasance, covenant defeasance or satisfaction and discharge of the Indenture as provided in Article 7 and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Article 8; or</w:t>
      </w:r>
    </w:p>
    <w:p>
      <w:pPr>
        <w:spacing w:after="0" w:line="199" w:lineRule="exact"/>
        <w:rPr>
          <w:rFonts w:ascii="Arial" w:cs="Arial" w:eastAsia="Arial" w:hAnsi="Arial"/>
          <w:sz w:val="18"/>
          <w:szCs w:val="18"/>
          <w:color w:val="auto"/>
        </w:rPr>
      </w:pPr>
    </w:p>
    <w:p>
      <w:pPr>
        <w:ind w:left="1720" w:hanging="415"/>
        <w:spacing w:after="0"/>
        <w:tabs>
          <w:tab w:leader="none" w:pos="1720" w:val="left"/>
        </w:tabs>
        <w:numPr>
          <w:ilvl w:val="1"/>
          <w:numId w:val="70"/>
        </w:numPr>
        <w:rPr>
          <w:rFonts w:ascii="Arial" w:cs="Arial" w:eastAsia="Arial" w:hAnsi="Arial"/>
          <w:sz w:val="20"/>
          <w:szCs w:val="20"/>
          <w:color w:val="auto"/>
        </w:rPr>
      </w:pPr>
      <w:r>
        <w:rPr>
          <w:rFonts w:ascii="Arial" w:cs="Arial" w:eastAsia="Arial" w:hAnsi="Arial"/>
          <w:sz w:val="20"/>
          <w:szCs w:val="20"/>
          <w:color w:val="auto"/>
        </w:rPr>
        <w:t>on the Fall Away Date.</w:t>
      </w:r>
    </w:p>
    <w:p>
      <w:pPr>
        <w:spacing w:after="0" w:line="215" w:lineRule="exact"/>
        <w:rPr>
          <w:rFonts w:ascii="Arial" w:cs="Arial" w:eastAsia="Arial" w:hAnsi="Arial"/>
          <w:sz w:val="20"/>
          <w:szCs w:val="20"/>
          <w:color w:val="auto"/>
        </w:rPr>
      </w:pPr>
    </w:p>
    <w:p>
      <w:pPr>
        <w:ind w:right="20" w:firstLine="1088"/>
        <w:spacing w:after="0" w:line="246" w:lineRule="auto"/>
        <w:tabs>
          <w:tab w:leader="none" w:pos="1491"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Any release and discharge pursuant to Section 9.06(a) shall occur automatically upon the consummation of any such transaction without any further action required of the Company, the applicable Guarantor or the Trustee;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Trustee shall be entitled to an Officer’s Certificate and an Opinion of Counsel, each stating that all conditions precedent provided for in the Indenture relating to such transaction have been complied with.</w:t>
      </w:r>
    </w:p>
    <w:p>
      <w:pPr>
        <w:spacing w:after="0" w:line="191" w:lineRule="exact"/>
        <w:rPr>
          <w:rFonts w:ascii="Arial" w:cs="Arial" w:eastAsia="Arial" w:hAnsi="Arial"/>
          <w:sz w:val="20"/>
          <w:szCs w:val="20"/>
          <w:color w:val="auto"/>
        </w:rPr>
      </w:pPr>
    </w:p>
    <w:p>
      <w:pPr>
        <w:ind w:left="1480" w:hanging="392"/>
        <w:spacing w:after="0"/>
        <w:tabs>
          <w:tab w:leader="none" w:pos="14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on any date following the Issue Date:</w:t>
      </w:r>
    </w:p>
    <w:p>
      <w:pPr>
        <w:spacing w:after="0" w:line="215" w:lineRule="exact"/>
        <w:rPr>
          <w:rFonts w:ascii="Arial" w:cs="Arial" w:eastAsia="Arial" w:hAnsi="Arial"/>
          <w:sz w:val="20"/>
          <w:szCs w:val="20"/>
          <w:color w:val="auto"/>
        </w:rPr>
      </w:pPr>
    </w:p>
    <w:p>
      <w:pPr>
        <w:ind w:left="2380" w:hanging="427"/>
        <w:spacing w:after="0"/>
        <w:tabs>
          <w:tab w:leader="none" w:pos="2380" w:val="left"/>
        </w:tabs>
        <w:numPr>
          <w:ilvl w:val="2"/>
          <w:numId w:val="70"/>
        </w:numPr>
        <w:rPr>
          <w:rFonts w:ascii="Arial" w:cs="Arial" w:eastAsia="Arial" w:hAnsi="Arial"/>
          <w:sz w:val="20"/>
          <w:szCs w:val="20"/>
          <w:color w:val="auto"/>
        </w:rPr>
      </w:pPr>
      <w:r>
        <w:rPr>
          <w:rFonts w:ascii="Arial" w:cs="Arial" w:eastAsia="Arial" w:hAnsi="Arial"/>
          <w:sz w:val="20"/>
          <w:szCs w:val="20"/>
          <w:color w:val="auto"/>
        </w:rPr>
        <w:t>the Notes are rated Investment Grade by both Rating Agencies; and</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00"/>
          </w:cols>
          <w:pgMar w:left="240" w:top="366" w:right="259" w:bottom="1440" w:gutter="0" w:footer="0" w:header="0"/>
        </w:sectPr>
      </w:pPr>
    </w:p>
    <w:bookmarkStart w:id="51" w:name="page52"/>
    <w:bookmarkEnd w:id="51"/>
    <w:p>
      <w:pPr>
        <w:ind w:left="2380" w:hanging="427"/>
        <w:spacing w:after="0"/>
        <w:tabs>
          <w:tab w:leader="none" w:pos="23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w:t>
      </w:r>
    </w:p>
    <w:p>
      <w:pPr>
        <w:spacing w:after="0" w:line="216" w:lineRule="exact"/>
        <w:rPr>
          <w:sz w:val="20"/>
          <w:szCs w:val="20"/>
          <w:color w:val="auto"/>
        </w:rPr>
      </w:pPr>
    </w:p>
    <w:p>
      <w:pPr>
        <w:ind w:right="240" w:firstLine="8"/>
        <w:spacing w:after="0" w:line="250" w:lineRule="auto"/>
        <w:tabs>
          <w:tab w:leader="none" w:pos="378"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then, beginning on that day (the “</w:t>
      </w:r>
      <w:r>
        <w:rPr>
          <w:rFonts w:ascii="Arial" w:cs="Arial" w:eastAsia="Arial" w:hAnsi="Arial"/>
          <w:sz w:val="20"/>
          <w:szCs w:val="20"/>
          <w:b w:val="1"/>
          <w:bCs w:val="1"/>
          <w:i w:val="1"/>
          <w:iCs w:val="1"/>
          <w:color w:val="auto"/>
        </w:rPr>
        <w:t>Fall Away Date</w:t>
      </w:r>
      <w:r>
        <w:rPr>
          <w:rFonts w:ascii="Arial" w:cs="Arial" w:eastAsia="Arial" w:hAnsi="Arial"/>
          <w:sz w:val="20"/>
          <w:szCs w:val="20"/>
          <w:color w:val="auto"/>
        </w:rPr>
        <w:t>”) and continuing at all times thereafter regardless of any subsequent changes in the rating of the Notes, the Note Guarantees of each of the Guarantors will be automatically released and Section 4.06 shall cease to apply to the Notes.</w:t>
      </w:r>
    </w:p>
    <w:p>
      <w:pPr>
        <w:spacing w:after="0" w:line="189"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SUPPLEMENTAL INDENTURES</w:t>
      </w:r>
    </w:p>
    <w:p>
      <w:pPr>
        <w:spacing w:after="0" w:line="229"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 xml:space="preserve">Section 10.01 </w:t>
      </w:r>
      <w:r>
        <w:rPr>
          <w:rFonts w:ascii="Arial" w:cs="Arial" w:eastAsia="Arial" w:hAnsi="Arial"/>
          <w:sz w:val="20"/>
          <w:szCs w:val="20"/>
          <w:i w:val="1"/>
          <w:iCs w:val="1"/>
          <w:color w:val="auto"/>
        </w:rPr>
        <w:t>Supplemental Indentures Without Consent of Holders.</w:t>
      </w:r>
      <w:r>
        <w:rPr>
          <w:rFonts w:ascii="Arial" w:cs="Arial" w:eastAsia="Arial" w:hAnsi="Arial"/>
          <w:sz w:val="20"/>
          <w:szCs w:val="20"/>
          <w:color w:val="auto"/>
        </w:rPr>
        <w:t xml:space="preserve"> In lieu of Section 9.1 of the Original Indenture, the Company, the Guarantors and the Trustee may amend or supplement the Indenture, the Notes or the Note Guarantees without notice to or the consent of any Holder of the Notes:</w:t>
      </w:r>
    </w:p>
    <w:p>
      <w:pPr>
        <w:spacing w:after="0" w:line="186" w:lineRule="exact"/>
        <w:rPr>
          <w:sz w:val="20"/>
          <w:szCs w:val="20"/>
          <w:color w:val="auto"/>
        </w:rPr>
      </w:pPr>
    </w:p>
    <w:p>
      <w:pPr>
        <w:ind w:left="1480" w:hanging="392"/>
        <w:spacing w:after="0"/>
        <w:tabs>
          <w:tab w:leader="none" w:pos="14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to cure any ambiguity, defect or inconsistency;</w:t>
      </w:r>
    </w:p>
    <w:p>
      <w:pPr>
        <w:spacing w:after="0" w:line="215" w:lineRule="exact"/>
        <w:rPr>
          <w:rFonts w:ascii="Arial" w:cs="Arial" w:eastAsia="Arial" w:hAnsi="Arial"/>
          <w:sz w:val="20"/>
          <w:szCs w:val="20"/>
          <w:color w:val="auto"/>
        </w:rPr>
      </w:pPr>
    </w:p>
    <w:p>
      <w:pPr>
        <w:ind w:left="1500" w:hanging="412"/>
        <w:spacing w:after="0"/>
        <w:tabs>
          <w:tab w:leader="none" w:pos="15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to provide for uncertificated Notes in addition to or in place of Physical Notes;</w:t>
      </w:r>
    </w:p>
    <w:p>
      <w:pPr>
        <w:spacing w:after="0" w:line="215" w:lineRule="exact"/>
        <w:rPr>
          <w:rFonts w:ascii="Arial" w:cs="Arial" w:eastAsia="Arial" w:hAnsi="Arial"/>
          <w:sz w:val="20"/>
          <w:szCs w:val="20"/>
          <w:color w:val="auto"/>
        </w:rPr>
      </w:pPr>
    </w:p>
    <w:p>
      <w:pPr>
        <w:ind w:right="180" w:firstLine="1088"/>
        <w:spacing w:after="0" w:line="260" w:lineRule="auto"/>
        <w:tabs>
          <w:tab w:leader="none" w:pos="14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to provide for the assumption of the Company’s obligations to Holders of Notes in the case of a merger or consolidation or sale of all or substantially all of the Company’s assets;</w:t>
      </w:r>
    </w:p>
    <w:p>
      <w:pPr>
        <w:spacing w:after="0" w:line="176" w:lineRule="exact"/>
        <w:rPr>
          <w:rFonts w:ascii="Arial" w:cs="Arial" w:eastAsia="Arial" w:hAnsi="Arial"/>
          <w:sz w:val="20"/>
          <w:szCs w:val="20"/>
          <w:color w:val="auto"/>
        </w:rPr>
      </w:pPr>
    </w:p>
    <w:p>
      <w:pPr>
        <w:ind w:right="260" w:firstLine="1088"/>
        <w:spacing w:after="0" w:line="260" w:lineRule="auto"/>
        <w:tabs>
          <w:tab w:leader="none" w:pos="1491" w:val="left"/>
        </w:tabs>
        <w:numPr>
          <w:ilvl w:val="0"/>
          <w:numId w:val="73"/>
        </w:numPr>
        <w:rPr>
          <w:rFonts w:ascii="Arial" w:cs="Arial" w:eastAsia="Arial" w:hAnsi="Arial"/>
          <w:sz w:val="20"/>
          <w:szCs w:val="20"/>
          <w:color w:val="auto"/>
        </w:rPr>
      </w:pPr>
      <w:r>
        <w:rPr>
          <w:rFonts w:ascii="Arial" w:cs="Arial" w:eastAsia="Arial" w:hAnsi="Arial"/>
          <w:sz w:val="20"/>
          <w:szCs w:val="20"/>
          <w:color w:val="auto"/>
        </w:rPr>
        <w:t>to make any change that would provide any additional rights or benefits to the holders of Notes or that does not adversely affect the legal rights under the Indenture of any Holder;</w:t>
      </w:r>
    </w:p>
    <w:p>
      <w:pPr>
        <w:spacing w:after="0" w:line="176" w:lineRule="exact"/>
        <w:rPr>
          <w:rFonts w:ascii="Arial" w:cs="Arial" w:eastAsia="Arial" w:hAnsi="Arial"/>
          <w:sz w:val="20"/>
          <w:szCs w:val="20"/>
          <w:color w:val="auto"/>
        </w:rPr>
      </w:pPr>
    </w:p>
    <w:p>
      <w:pPr>
        <w:ind w:right="460" w:firstLine="1088"/>
        <w:spacing w:after="0" w:line="260" w:lineRule="auto"/>
        <w:tabs>
          <w:tab w:leader="none" w:pos="14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to comply with requirements of the SEC in order to effect or maintain the qualification of the Indenture under the Trust Indenture Act of 1939, as amended (the “</w:t>
      </w:r>
      <w:r>
        <w:rPr>
          <w:rFonts w:ascii="Arial" w:cs="Arial" w:eastAsia="Arial" w:hAnsi="Arial"/>
          <w:sz w:val="20"/>
          <w:szCs w:val="20"/>
          <w:b w:val="1"/>
          <w:bCs w:val="1"/>
          <w:i w:val="1"/>
          <w:iCs w:val="1"/>
          <w:color w:val="auto"/>
        </w:rPr>
        <w:t>TIA</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right="760" w:firstLine="1088"/>
        <w:spacing w:after="0" w:line="316" w:lineRule="auto"/>
        <w:tabs>
          <w:tab w:leader="none" w:pos="145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conform this Supplemental Indenture, the Notes or the Note Guarantees and the form or terms of the Notes to the “Description of notes” section as set forth in the Offering Memorandum as determined in good faith by the Company;</w:t>
      </w:r>
    </w:p>
    <w:p>
      <w:pPr>
        <w:spacing w:after="0" w:line="130" w:lineRule="exact"/>
        <w:rPr>
          <w:rFonts w:ascii="Arial" w:cs="Arial" w:eastAsia="Arial" w:hAnsi="Arial"/>
          <w:sz w:val="18"/>
          <w:szCs w:val="18"/>
          <w:color w:val="auto"/>
        </w:rPr>
      </w:pPr>
    </w:p>
    <w:p>
      <w:pPr>
        <w:ind w:left="1500" w:hanging="412"/>
        <w:spacing w:after="0"/>
        <w:tabs>
          <w:tab w:leader="none" w:pos="1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the Indenture as of the Issue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Date;</w:t>
      </w:r>
    </w:p>
    <w:p>
      <w:pPr>
        <w:spacing w:after="0" w:line="199" w:lineRule="exact"/>
        <w:rPr>
          <w:rFonts w:ascii="Arial" w:cs="Arial" w:eastAsia="Arial" w:hAnsi="Arial"/>
          <w:sz w:val="18"/>
          <w:szCs w:val="18"/>
          <w:color w:val="auto"/>
        </w:rPr>
      </w:pPr>
    </w:p>
    <w:p>
      <w:pPr>
        <w:ind w:firstLine="1088"/>
        <w:spacing w:after="0" w:line="260" w:lineRule="auto"/>
        <w:tabs>
          <w:tab w:leader="none" w:pos="1491" w:val="left"/>
        </w:tabs>
        <w:numPr>
          <w:ilvl w:val="0"/>
          <w:numId w:val="73"/>
        </w:numPr>
        <w:rPr>
          <w:rFonts w:ascii="Arial" w:cs="Arial" w:eastAsia="Arial" w:hAnsi="Arial"/>
          <w:sz w:val="20"/>
          <w:szCs w:val="20"/>
          <w:color w:val="auto"/>
        </w:rPr>
      </w:pPr>
      <w:r>
        <w:rPr>
          <w:rFonts w:ascii="Arial" w:cs="Arial" w:eastAsia="Arial" w:hAnsi="Arial"/>
          <w:sz w:val="20"/>
          <w:szCs w:val="20"/>
          <w:color w:val="auto"/>
        </w:rPr>
        <w:t>to release a Guarantor from its Note Guarantee pursuant to the terms of the Indenture when permitted or required pursuant to the terms of the Indenture;</w:t>
      </w:r>
    </w:p>
    <w:p>
      <w:pPr>
        <w:spacing w:after="0" w:line="176" w:lineRule="exact"/>
        <w:rPr>
          <w:rFonts w:ascii="Arial" w:cs="Arial" w:eastAsia="Arial" w:hAnsi="Arial"/>
          <w:sz w:val="20"/>
          <w:szCs w:val="20"/>
          <w:color w:val="auto"/>
        </w:rPr>
      </w:pPr>
    </w:p>
    <w:p>
      <w:pPr>
        <w:ind w:right="100" w:firstLine="1088"/>
        <w:spacing w:after="0" w:line="260" w:lineRule="auto"/>
        <w:tabs>
          <w:tab w:leader="none" w:pos="1447" w:val="left"/>
        </w:tabs>
        <w:numPr>
          <w:ilvl w:val="0"/>
          <w:numId w:val="73"/>
        </w:numPr>
        <w:rPr>
          <w:rFonts w:ascii="Arial" w:cs="Arial" w:eastAsia="Arial" w:hAnsi="Arial"/>
          <w:sz w:val="20"/>
          <w:szCs w:val="20"/>
          <w:color w:val="auto"/>
        </w:rPr>
      </w:pPr>
      <w:r>
        <w:rPr>
          <w:rFonts w:ascii="Arial" w:cs="Arial" w:eastAsia="Arial" w:hAnsi="Arial"/>
          <w:sz w:val="20"/>
          <w:szCs w:val="20"/>
          <w:color w:val="auto"/>
        </w:rPr>
        <w:t>to secure the Notes and the related Note Guarantees or add covenants for the benefit of the Holders or to surrender any right or power conferred upon the Company or any Guarantor;</w:t>
      </w:r>
    </w:p>
    <w:p>
      <w:pPr>
        <w:spacing w:after="0" w:line="176" w:lineRule="exact"/>
        <w:rPr>
          <w:rFonts w:ascii="Arial" w:cs="Arial" w:eastAsia="Arial" w:hAnsi="Arial"/>
          <w:sz w:val="20"/>
          <w:szCs w:val="20"/>
          <w:color w:val="auto"/>
        </w:rPr>
      </w:pPr>
    </w:p>
    <w:p>
      <w:pPr>
        <w:ind w:left="1460" w:hanging="372"/>
        <w:spacing w:after="0"/>
        <w:tabs>
          <w:tab w:leader="none" w:pos="14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to add additional Note Guarantees;</w:t>
      </w:r>
    </w:p>
    <w:p>
      <w:pPr>
        <w:spacing w:after="0" w:line="215" w:lineRule="exact"/>
        <w:rPr>
          <w:rFonts w:ascii="Arial" w:cs="Arial" w:eastAsia="Arial" w:hAnsi="Arial"/>
          <w:sz w:val="20"/>
          <w:szCs w:val="20"/>
          <w:color w:val="auto"/>
        </w:rPr>
      </w:pPr>
    </w:p>
    <w:p>
      <w:pPr>
        <w:ind w:right="500" w:firstLine="1088"/>
        <w:spacing w:after="0" w:line="260" w:lineRule="auto"/>
        <w:tabs>
          <w:tab w:leader="none" w:pos="1491" w:val="left"/>
        </w:tabs>
        <w:numPr>
          <w:ilvl w:val="0"/>
          <w:numId w:val="73"/>
        </w:numPr>
        <w:rPr>
          <w:rFonts w:ascii="Arial" w:cs="Arial" w:eastAsia="Arial" w:hAnsi="Arial"/>
          <w:sz w:val="20"/>
          <w:szCs w:val="20"/>
          <w:color w:val="auto"/>
        </w:rPr>
      </w:pPr>
      <w:r>
        <w:rPr>
          <w:rFonts w:ascii="Arial" w:cs="Arial" w:eastAsia="Arial" w:hAnsi="Arial"/>
          <w:sz w:val="20"/>
          <w:szCs w:val="20"/>
          <w:color w:val="auto"/>
        </w:rPr>
        <w:t>to evidence and provide for the acceptance and appointment under the Indenture of a successor Trustee pursuant to the requirements hereof; or</w:t>
      </w:r>
    </w:p>
    <w:p>
      <w:pPr>
        <w:spacing w:after="0" w:line="176" w:lineRule="exact"/>
        <w:rPr>
          <w:rFonts w:ascii="Arial" w:cs="Arial" w:eastAsia="Arial" w:hAnsi="Arial"/>
          <w:sz w:val="20"/>
          <w:szCs w:val="20"/>
          <w:color w:val="auto"/>
        </w:rPr>
      </w:pPr>
    </w:p>
    <w:p>
      <w:pPr>
        <w:ind w:right="360" w:firstLine="1088"/>
        <w:spacing w:after="0" w:line="246" w:lineRule="auto"/>
        <w:tabs>
          <w:tab w:leader="none" w:pos="1447"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to make any amendment to the provisions of the Indenture relating to the transfer or legending of the Notes;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 compliance with this Supplemental Indenture as so amended would not result in notes being transferred in violation of the</w:t>
      </w:r>
      <w:r>
        <w:rPr>
          <w:rFonts w:ascii="Arial" w:cs="Arial" w:eastAsia="Arial" w:hAnsi="Arial"/>
          <w:sz w:val="20"/>
          <w:szCs w:val="20"/>
          <w:i w:val="1"/>
          <w:iCs w:val="1"/>
          <w:color w:val="auto"/>
        </w:rPr>
        <w:t xml:space="preserve"> </w:t>
      </w:r>
      <w:r>
        <w:rPr>
          <w:rFonts w:ascii="Arial" w:cs="Arial" w:eastAsia="Arial" w:hAnsi="Arial"/>
          <w:sz w:val="20"/>
          <w:szCs w:val="20"/>
          <w:color w:val="auto"/>
        </w:rPr>
        <w:t>Securities Act, or any applicable securities law and (ii) such amendment does not materially and adversely affect the rights of Holders to transfer Notes.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380"/>
          </w:cols>
          <w:pgMar w:left="240" w:top="366" w:right="279" w:bottom="1440" w:gutter="0" w:footer="0" w:header="0"/>
        </w:sectPr>
      </w:pPr>
    </w:p>
    <w:bookmarkStart w:id="52" w:name="page53"/>
    <w:bookmarkEnd w:id="52"/>
    <w:p>
      <w:pPr>
        <w:ind w:right="160" w:firstLine="648"/>
        <w:spacing w:after="0" w:line="260" w:lineRule="auto"/>
        <w:rPr>
          <w:sz w:val="20"/>
          <w:szCs w:val="20"/>
          <w:color w:val="auto"/>
        </w:rPr>
      </w:pPr>
      <w:r>
        <w:rPr>
          <w:rFonts w:ascii="Arial" w:cs="Arial" w:eastAsia="Arial" w:hAnsi="Arial"/>
          <w:sz w:val="20"/>
          <w:szCs w:val="20"/>
          <w:color w:val="auto"/>
        </w:rPr>
        <w:t>The consent of the Holders is not necessary to approve the particular form of any proposed amendment. It is sufficient if such consent approves the substance of the proposed amendment.</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Supplemental Indentures With Consent of Holders.</w:t>
      </w:r>
      <w:r>
        <w:rPr>
          <w:rFonts w:ascii="Arial" w:cs="Arial" w:eastAsia="Arial" w:hAnsi="Arial"/>
          <w:sz w:val="18"/>
          <w:szCs w:val="18"/>
          <w:color w:val="auto"/>
        </w:rPr>
        <w:t xml:space="preserve"> Subject to Section 10.01, the Indenture, the Notes or the Note Guarantees may be amended or supplemented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 any existing Default or Event of Default (other than a Default or Event of Default in the payment of the principal of, premium on, if any, or interest, on, the Notes, except a payment default resulting from an acceleration that has been rescinded) or compliance with any provision of the Indenture or the Notes or the Note Guarantees may be waived with the consent of the Holders of a majority in aggregate principal amount of the then outstanding Notes (including, without limitation, Additional Notes, if any) voting as a single class (including, without limitation, consents obtained in connection with a purchase of, or tender offer or exchange offer for, Notes). In lieu of Section 9.2 of the Original Indenture, which shall not apply with respect to the Notes, without the consent of each Holder affected thereby, no amendment, supplement or waiver, including a waiver in relation to a past Event of Default, may:</w:t>
      </w:r>
    </w:p>
    <w:p>
      <w:pPr>
        <w:spacing w:after="0" w:line="175" w:lineRule="exact"/>
        <w:rPr>
          <w:sz w:val="20"/>
          <w:szCs w:val="20"/>
          <w:color w:val="auto"/>
        </w:rPr>
      </w:pPr>
    </w:p>
    <w:p>
      <w:pPr>
        <w:ind w:left="1480" w:hanging="392"/>
        <w:spacing w:after="0"/>
        <w:tabs>
          <w:tab w:leader="none" w:pos="14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reduce the principal amount of Notes whose Holders must consent to an amendment, supplement or waiver;</w:t>
      </w:r>
    </w:p>
    <w:p>
      <w:pPr>
        <w:spacing w:after="0" w:line="215" w:lineRule="exact"/>
        <w:rPr>
          <w:rFonts w:ascii="Arial" w:cs="Arial" w:eastAsia="Arial" w:hAnsi="Arial"/>
          <w:sz w:val="20"/>
          <w:szCs w:val="20"/>
          <w:color w:val="auto"/>
        </w:rPr>
      </w:pPr>
    </w:p>
    <w:p>
      <w:pPr>
        <w:ind w:right="120" w:firstLine="1088"/>
        <w:spacing w:after="0" w:line="250" w:lineRule="auto"/>
        <w:tabs>
          <w:tab w:leader="none" w:pos="1491" w:val="left"/>
        </w:tabs>
        <w:numPr>
          <w:ilvl w:val="0"/>
          <w:numId w:val="74"/>
        </w:numPr>
        <w:rPr>
          <w:rFonts w:ascii="Arial" w:cs="Arial" w:eastAsia="Arial" w:hAnsi="Arial"/>
          <w:sz w:val="20"/>
          <w:szCs w:val="20"/>
          <w:color w:val="auto"/>
        </w:rPr>
      </w:pPr>
      <w:r>
        <w:rPr>
          <w:rFonts w:ascii="Arial" w:cs="Arial" w:eastAsia="Arial" w:hAnsi="Arial"/>
          <w:sz w:val="20"/>
          <w:szCs w:val="20"/>
          <w:color w:val="auto"/>
        </w:rPr>
        <w:t>reduce the principal of or change the fixed maturity of any Note or alter or waive any of the provisions with respect to the redemption of the Notes (for the avoidance of doubt, the provisions with respect to the redemption of the Notes referred to in this clause (b) do not include the offers to purchase Notes described in Section 4.04);</w:t>
      </w:r>
    </w:p>
    <w:p>
      <w:pPr>
        <w:spacing w:after="0" w:line="186" w:lineRule="exact"/>
        <w:rPr>
          <w:rFonts w:ascii="Arial" w:cs="Arial" w:eastAsia="Arial" w:hAnsi="Arial"/>
          <w:sz w:val="20"/>
          <w:szCs w:val="20"/>
          <w:color w:val="auto"/>
        </w:rPr>
      </w:pPr>
    </w:p>
    <w:p>
      <w:pPr>
        <w:ind w:left="1480" w:hanging="392"/>
        <w:spacing w:after="0"/>
        <w:tabs>
          <w:tab w:leader="none" w:pos="14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reduce the rate of or change the time for payment of interest on any Note;</w:t>
      </w:r>
    </w:p>
    <w:p>
      <w:pPr>
        <w:spacing w:after="0" w:line="215" w:lineRule="exact"/>
        <w:rPr>
          <w:rFonts w:ascii="Arial" w:cs="Arial" w:eastAsia="Arial" w:hAnsi="Arial"/>
          <w:sz w:val="20"/>
          <w:szCs w:val="20"/>
          <w:color w:val="auto"/>
        </w:rPr>
      </w:pPr>
    </w:p>
    <w:p>
      <w:pPr>
        <w:jc w:val="both"/>
        <w:ind w:right="240" w:firstLine="1088"/>
        <w:spacing w:after="0" w:line="250" w:lineRule="auto"/>
        <w:tabs>
          <w:tab w:leader="none" w:pos="1491" w:val="left"/>
        </w:tabs>
        <w:numPr>
          <w:ilvl w:val="0"/>
          <w:numId w:val="74"/>
        </w:numPr>
        <w:rPr>
          <w:rFonts w:ascii="Arial" w:cs="Arial" w:eastAsia="Arial" w:hAnsi="Arial"/>
          <w:sz w:val="20"/>
          <w:szCs w:val="20"/>
          <w:color w:val="auto"/>
        </w:rPr>
      </w:pPr>
      <w:r>
        <w:rPr>
          <w:rFonts w:ascii="Arial" w:cs="Arial" w:eastAsia="Arial" w:hAnsi="Arial"/>
          <w:sz w:val="20"/>
          <w:szCs w:val="20"/>
          <w:color w:val="auto"/>
        </w:rPr>
        <w:t>waive a Default or Event of Default in the payment of principal of, premium on, if any, or interest, on, the Notes (except a rescission of acceleration of the Notes by the Holders of at least a majority in aggregate principal amount of the then outstanding Notes and a waiver of the payment default that resulted from such acceleration);</w:t>
      </w:r>
    </w:p>
    <w:p>
      <w:pPr>
        <w:spacing w:after="0" w:line="186" w:lineRule="exact"/>
        <w:rPr>
          <w:rFonts w:ascii="Arial" w:cs="Arial" w:eastAsia="Arial" w:hAnsi="Arial"/>
          <w:sz w:val="20"/>
          <w:szCs w:val="20"/>
          <w:color w:val="auto"/>
        </w:rPr>
      </w:pPr>
    </w:p>
    <w:p>
      <w:pPr>
        <w:ind w:left="1480" w:hanging="392"/>
        <w:spacing w:after="0"/>
        <w:tabs>
          <w:tab w:leader="none" w:pos="14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make any Note payable in money other than that stated in the Notes;</w:t>
      </w:r>
    </w:p>
    <w:p>
      <w:pPr>
        <w:spacing w:after="0" w:line="215" w:lineRule="exact"/>
        <w:rPr>
          <w:rFonts w:ascii="Arial" w:cs="Arial" w:eastAsia="Arial" w:hAnsi="Arial"/>
          <w:sz w:val="20"/>
          <w:szCs w:val="20"/>
          <w:color w:val="auto"/>
        </w:rPr>
      </w:pPr>
    </w:p>
    <w:p>
      <w:pPr>
        <w:ind w:left="1460" w:hanging="372"/>
        <w:spacing w:after="0"/>
        <w:tabs>
          <w:tab w:leader="none" w:pos="14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make any change in the provisions of the Indenture relating to waivers of past Defaults;</w:t>
      </w:r>
    </w:p>
    <w:p>
      <w:pPr>
        <w:spacing w:after="0" w:line="215" w:lineRule="exact"/>
        <w:rPr>
          <w:rFonts w:ascii="Arial" w:cs="Arial" w:eastAsia="Arial" w:hAnsi="Arial"/>
          <w:sz w:val="20"/>
          <w:szCs w:val="20"/>
          <w:color w:val="auto"/>
        </w:rPr>
      </w:pPr>
    </w:p>
    <w:p>
      <w:pPr>
        <w:ind w:right="460" w:firstLine="1088"/>
        <w:spacing w:after="0" w:line="316" w:lineRule="auto"/>
        <w:tabs>
          <w:tab w:leader="none" w:pos="149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amend the contractual right expressly set forth in the Indenture or Notes of Holders to receive payments of principal of, premium on, if any, or interest, on, the Notes on or after the due dates therefor or to institute suit to enforce such payment;</w:t>
      </w:r>
    </w:p>
    <w:p>
      <w:pPr>
        <w:spacing w:after="0" w:line="130" w:lineRule="exact"/>
        <w:rPr>
          <w:rFonts w:ascii="Arial" w:cs="Arial" w:eastAsia="Arial" w:hAnsi="Arial"/>
          <w:sz w:val="18"/>
          <w:szCs w:val="18"/>
          <w:color w:val="auto"/>
        </w:rPr>
      </w:pPr>
    </w:p>
    <w:p>
      <w:pPr>
        <w:ind w:left="1500" w:hanging="412"/>
        <w:spacing w:after="0"/>
        <w:tabs>
          <w:tab w:leader="none" w:pos="15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waive a redemption payment with respect to any Note (other than a payment required by Section 4.04);</w:t>
      </w:r>
    </w:p>
    <w:p>
      <w:pPr>
        <w:spacing w:after="0" w:line="215" w:lineRule="exact"/>
        <w:rPr>
          <w:rFonts w:ascii="Arial" w:cs="Arial" w:eastAsia="Arial" w:hAnsi="Arial"/>
          <w:sz w:val="20"/>
          <w:szCs w:val="20"/>
          <w:color w:val="auto"/>
        </w:rPr>
      </w:pPr>
    </w:p>
    <w:p>
      <w:pPr>
        <w:ind w:right="240" w:firstLine="1088"/>
        <w:spacing w:after="0" w:line="269" w:lineRule="auto"/>
        <w:tabs>
          <w:tab w:leader="none" w:pos="1447" w:val="left"/>
        </w:tabs>
        <w:numPr>
          <w:ilvl w:val="0"/>
          <w:numId w:val="74"/>
        </w:numPr>
        <w:rPr>
          <w:rFonts w:ascii="Arial" w:cs="Arial" w:eastAsia="Arial" w:hAnsi="Arial"/>
          <w:sz w:val="19"/>
          <w:szCs w:val="19"/>
          <w:color w:val="auto"/>
        </w:rPr>
      </w:pPr>
      <w:r>
        <w:rPr>
          <w:rFonts w:ascii="Arial" w:cs="Arial" w:eastAsia="Arial" w:hAnsi="Arial"/>
          <w:sz w:val="19"/>
          <w:szCs w:val="19"/>
          <w:color w:val="auto"/>
        </w:rPr>
        <w:t>prior to the Fall Away Date, release any Guarantor that is a Significant Subsidiary (or any group of Guarantors that, taken together, as of the latest audited consolidated financial statements for the Company would constitute a Significant Subsidiary) from any of its obligations under its Note Guarantee or the Indenture, except in accordance with the terms of the Indenture; or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366" w:right="239" w:bottom="1440" w:gutter="0" w:footer="0" w:header="0"/>
        </w:sectPr>
      </w:pPr>
    </w:p>
    <w:bookmarkStart w:id="53" w:name="page54"/>
    <w:bookmarkEnd w:id="53"/>
    <w:p>
      <w:pPr>
        <w:ind w:left="1080"/>
        <w:spacing w:after="0"/>
        <w:tabs>
          <w:tab w:leader="none" w:pos="1440" w:val="left"/>
        </w:tabs>
        <w:rPr>
          <w:sz w:val="20"/>
          <w:szCs w:val="20"/>
          <w:color w:val="auto"/>
        </w:rPr>
      </w:pPr>
      <w:r>
        <w:rPr>
          <w:rFonts w:ascii="Arial" w:cs="Arial" w:eastAsia="Arial" w:hAnsi="Arial"/>
          <w:sz w:val="20"/>
          <w:szCs w:val="20"/>
          <w:color w:val="auto"/>
        </w:rPr>
        <w:t>(j)</w:t>
      </w:r>
      <w:r>
        <w:rPr>
          <w:sz w:val="20"/>
          <w:szCs w:val="20"/>
          <w:color w:val="auto"/>
        </w:rPr>
        <w:tab/>
      </w:r>
      <w:r>
        <w:rPr>
          <w:rFonts w:ascii="Arial" w:cs="Arial" w:eastAsia="Arial" w:hAnsi="Arial"/>
          <w:sz w:val="16"/>
          <w:szCs w:val="16"/>
          <w:color w:val="auto"/>
        </w:rPr>
        <w:t>make any change in the preceding amendment and waiver provisions.</w:t>
      </w:r>
    </w:p>
    <w:p>
      <w:pPr>
        <w:spacing w:after="0" w:line="216"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The consent of the Holders is not necessary under the Indenture to approve the particular form of any proposed amendment. It is sufficient if such consent approves the substance of the proposed amendment.</w:t>
      </w:r>
    </w:p>
    <w:p>
      <w:pPr>
        <w:spacing w:after="0" w:line="177"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 xml:space="preserve">Section 10.03 </w:t>
      </w:r>
      <w:r>
        <w:rPr>
          <w:rFonts w:ascii="Arial" w:cs="Arial" w:eastAsia="Arial" w:hAnsi="Arial"/>
          <w:sz w:val="20"/>
          <w:szCs w:val="20"/>
          <w:i w:val="1"/>
          <w:iCs w:val="1"/>
          <w:color w:val="auto"/>
        </w:rPr>
        <w:t>Notice of Amendment or Supplement.</w:t>
      </w:r>
      <w:r>
        <w:rPr>
          <w:rFonts w:ascii="Arial" w:cs="Arial" w:eastAsia="Arial" w:hAnsi="Arial"/>
          <w:sz w:val="20"/>
          <w:szCs w:val="20"/>
          <w:color w:val="auto"/>
        </w:rPr>
        <w:t xml:space="preserve"> After an amendment or supplement under this Article 10 or Article IX of the Original Indenture becomes effective, the Company shall deliver to the Holders a notice briefly describing such amendment or supplement. However, the failure to give such notice to all the Holders, or any defect in the notice, shall not impair or affect the validity of the amendment or supplement.</w:t>
      </w:r>
    </w:p>
    <w:p>
      <w:pPr>
        <w:spacing w:after="0" w:line="194"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MISCELLANEOUS</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 xml:space="preserve">Section 11.01 </w:t>
      </w:r>
      <w:r>
        <w:rPr>
          <w:rFonts w:ascii="Arial" w:cs="Arial" w:eastAsia="Arial" w:hAnsi="Arial"/>
          <w:sz w:val="20"/>
          <w:szCs w:val="20"/>
          <w:i w:val="1"/>
          <w:iCs w:val="1"/>
          <w:color w:val="auto"/>
        </w:rPr>
        <w:t>Governing Law.</w:t>
      </w:r>
      <w:r>
        <w:rPr>
          <w:rFonts w:ascii="Arial" w:cs="Arial" w:eastAsia="Arial" w:hAnsi="Arial"/>
          <w:sz w:val="20"/>
          <w:szCs w:val="20"/>
          <w:color w:val="auto"/>
        </w:rPr>
        <w:t xml:space="preserve"> THIS SUPPLEMENTAL INDENTURE, EACH OF THE NOTES, EACH OF THE NOTE GUARANTEES AND ANY CLAIM, CONTROVERSY OR DISPUTE ARISING UNDER OR RELATED TO THIS SUPPLEMENTAL INDENTURE, EACH OF THE NOTES AND EACH OF THE NOTE GUARANTEES, SHALL BE GOVERNED BY, AND CONSTRUED IN ACCORDANCE WITH, THE LAWS OF THE STATE OF NEW YORK.</w:t>
      </w:r>
    </w:p>
    <w:p>
      <w:pPr>
        <w:spacing w:after="0" w:line="192" w:lineRule="exact"/>
        <w:rPr>
          <w:sz w:val="20"/>
          <w:szCs w:val="20"/>
          <w:color w:val="auto"/>
        </w:rPr>
      </w:pPr>
    </w:p>
    <w:p>
      <w:pPr>
        <w:jc w:val="both"/>
        <w:ind w:right="440"/>
        <w:spacing w:after="0" w:line="250" w:lineRule="auto"/>
        <w:rPr>
          <w:sz w:val="20"/>
          <w:szCs w:val="20"/>
          <w:color w:val="auto"/>
        </w:rPr>
      </w:pPr>
      <w:r>
        <w:rPr>
          <w:rFonts w:ascii="Arial" w:cs="Arial" w:eastAsia="Arial" w:hAnsi="Arial"/>
          <w:sz w:val="20"/>
          <w:szCs w:val="20"/>
          <w:color w:val="auto"/>
        </w:rPr>
        <w:t xml:space="preserve">Section 11.02 </w:t>
      </w:r>
      <w:r>
        <w:rPr>
          <w:rFonts w:ascii="Arial" w:cs="Arial" w:eastAsia="Arial" w:hAnsi="Arial"/>
          <w:sz w:val="20"/>
          <w:szCs w:val="20"/>
          <w:i w:val="1"/>
          <w:iCs w:val="1"/>
          <w:color w:val="auto"/>
        </w:rPr>
        <w:t>No Security Interest Created.</w:t>
      </w:r>
      <w:r>
        <w:rPr>
          <w:rFonts w:ascii="Arial" w:cs="Arial" w:eastAsia="Arial" w:hAnsi="Arial"/>
          <w:sz w:val="20"/>
          <w:szCs w:val="20"/>
          <w:color w:val="auto"/>
        </w:rPr>
        <w:t xml:space="preserve"> Nothing in this Supplemental Indenture, in the Notes or in the Note Guarantees expressed or implied, shall be construed to constitute a security interest under the Uniform Commercial Code or similar legislation, as now or hereafter enacted and in effect, in any jurisdiction.</w:t>
      </w:r>
    </w:p>
    <w:p>
      <w:pPr>
        <w:spacing w:after="0" w:line="186"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color w:val="auto"/>
        </w:rPr>
        <w:t>Section 11.03</w:t>
      </w:r>
      <w:r>
        <w:rPr>
          <w:sz w:val="20"/>
          <w:szCs w:val="20"/>
          <w:color w:val="auto"/>
        </w:rPr>
        <w:tab/>
      </w:r>
      <w:r>
        <w:rPr>
          <w:rFonts w:ascii="Arial" w:cs="Arial" w:eastAsia="Arial" w:hAnsi="Arial"/>
          <w:sz w:val="18"/>
          <w:szCs w:val="18"/>
          <w:i w:val="1"/>
          <w:iCs w:val="1"/>
          <w:color w:val="auto"/>
        </w:rPr>
        <w:t xml:space="preserve">Trust Indenture Act. </w:t>
      </w:r>
      <w:r>
        <w:rPr>
          <w:rFonts w:ascii="Arial" w:cs="Arial" w:eastAsia="Arial" w:hAnsi="Arial"/>
          <w:sz w:val="18"/>
          <w:szCs w:val="18"/>
          <w:color w:val="auto"/>
        </w:rPr>
        <w:t>This Supplemental Indenture will not be subject to, or governed by, the TIA.</w:t>
      </w:r>
    </w:p>
    <w:p>
      <w:pPr>
        <w:spacing w:after="0" w:line="216"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i w:val="1"/>
          <w:iCs w:val="1"/>
          <w:color w:val="auto"/>
        </w:rPr>
        <w:t>Benefits of Supplemental Indenture.</w:t>
      </w:r>
      <w:r>
        <w:rPr>
          <w:rFonts w:ascii="Arial" w:cs="Arial" w:eastAsia="Arial" w:hAnsi="Arial"/>
          <w:sz w:val="19"/>
          <w:szCs w:val="19"/>
          <w:color w:val="auto"/>
        </w:rPr>
        <w:t xml:space="preserve"> Nothing in this Supplemental Indenture, in the Notes or the Note Guarantees, express or implied, shall give to any person (including any Registrar, any Paying Agent and their successors hereunder), other than the parties hereto, any benefit or any legal or equitable right, remedy or claim under this Supplemental Indenture.</w:t>
      </w:r>
    </w:p>
    <w:p>
      <w:pPr>
        <w:spacing w:after="0" w:line="170"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 xml:space="preserve">Section 11.05 </w:t>
      </w:r>
      <w:r>
        <w:rPr>
          <w:rFonts w:ascii="Arial" w:cs="Arial" w:eastAsia="Arial" w:hAnsi="Arial"/>
          <w:sz w:val="20"/>
          <w:szCs w:val="20"/>
          <w:i w:val="1"/>
          <w:iCs w:val="1"/>
          <w:color w:val="auto"/>
        </w:rPr>
        <w:t>Calculations.</w:t>
      </w:r>
      <w:r>
        <w:rPr>
          <w:rFonts w:ascii="Arial" w:cs="Arial" w:eastAsia="Arial" w:hAnsi="Arial"/>
          <w:sz w:val="20"/>
          <w:szCs w:val="20"/>
          <w:color w:val="auto"/>
        </w:rPr>
        <w:t xml:space="preserve"> The Company shall be responsible for making all calculations called for under the Notes. These calculations include, but are not limited to, determinations of accrued interest payable on the Notes. The Company shall make all these calculations in good faith and, absent manifest error, the Company’s calculations shall be final and binding on Holders of Notes. The Company shall provide a schedule of its calculations to the Trustee and the Trustee is entitled to rely conclusively upon the accuracy of the Company’s calculations without independent verification. The Trustee will forward the Company’s calculations to any Holder of Notes upon the request of that Holder at the sole cost and expense of the Company.</w:t>
      </w:r>
    </w:p>
    <w:p>
      <w:pPr>
        <w:spacing w:after="0" w:line="196" w:lineRule="exact"/>
        <w:rPr>
          <w:sz w:val="20"/>
          <w:szCs w:val="20"/>
          <w:color w:val="auto"/>
        </w:rPr>
      </w:pPr>
    </w:p>
    <w:p>
      <w:pPr>
        <w:ind w:right="920"/>
        <w:spacing w:after="0" w:line="260" w:lineRule="auto"/>
        <w:rPr>
          <w:sz w:val="20"/>
          <w:szCs w:val="20"/>
          <w:color w:val="auto"/>
        </w:rPr>
      </w:pPr>
      <w:r>
        <w:rPr>
          <w:rFonts w:ascii="Arial" w:cs="Arial" w:eastAsia="Arial" w:hAnsi="Arial"/>
          <w:sz w:val="20"/>
          <w:szCs w:val="20"/>
          <w:color w:val="auto"/>
        </w:rPr>
        <w:t xml:space="preserve">Section 11.06 </w:t>
      </w:r>
      <w:r>
        <w:rPr>
          <w:rFonts w:ascii="Arial" w:cs="Arial" w:eastAsia="Arial" w:hAnsi="Arial"/>
          <w:sz w:val="20"/>
          <w:szCs w:val="20"/>
          <w:i w:val="1"/>
          <w:iCs w:val="1"/>
          <w:color w:val="auto"/>
        </w:rPr>
        <w:t>Effect of Headings and Table of Contents.</w:t>
      </w:r>
      <w:r>
        <w:rPr>
          <w:rFonts w:ascii="Arial" w:cs="Arial" w:eastAsia="Arial" w:hAnsi="Arial"/>
          <w:sz w:val="20"/>
          <w:szCs w:val="20"/>
          <w:color w:val="auto"/>
        </w:rPr>
        <w:t xml:space="preserve"> The Article and Section headings herein and the Table of Contents are for convenience only and shall not affect the construction hereof.</w:t>
      </w:r>
    </w:p>
    <w:p>
      <w:pPr>
        <w:spacing w:after="0" w:line="177"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 xml:space="preserve">Section 11.07 </w:t>
      </w:r>
      <w:r>
        <w:rPr>
          <w:rFonts w:ascii="Arial" w:cs="Arial" w:eastAsia="Arial" w:hAnsi="Arial"/>
          <w:sz w:val="20"/>
          <w:szCs w:val="20"/>
          <w:i w:val="1"/>
          <w:iCs w:val="1"/>
          <w:color w:val="auto"/>
        </w:rPr>
        <w:t>Execution in Counterparts.</w:t>
      </w:r>
      <w:r>
        <w:rPr>
          <w:rFonts w:ascii="Arial" w:cs="Arial" w:eastAsia="Arial" w:hAnsi="Arial"/>
          <w:sz w:val="20"/>
          <w:szCs w:val="20"/>
          <w:color w:val="auto"/>
        </w:rPr>
        <w:t xml:space="preserve"> This Supplemental Indenture may be executed in any number of counterparts, each of which shall be an original, but such counterparts shall together constitute but one and the same instrument.</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380"/>
          </w:cols>
          <w:pgMar w:left="240" w:top="366" w:right="279" w:bottom="1440" w:gutter="0" w:footer="0" w:header="0"/>
        </w:sectPr>
      </w:pPr>
    </w:p>
    <w:bookmarkStart w:id="54" w:name="page55"/>
    <w:bookmarkEnd w:id="54"/>
    <w:p>
      <w:pPr>
        <w:ind w:right="60"/>
        <w:spacing w:after="0" w:line="250" w:lineRule="auto"/>
        <w:rPr>
          <w:sz w:val="20"/>
          <w:szCs w:val="20"/>
          <w:color w:val="auto"/>
        </w:rPr>
      </w:pPr>
      <w:r>
        <w:rPr>
          <w:rFonts w:ascii="Arial" w:cs="Arial" w:eastAsia="Arial" w:hAnsi="Arial"/>
          <w:sz w:val="20"/>
          <w:szCs w:val="20"/>
          <w:color w:val="auto"/>
        </w:rPr>
        <w:t xml:space="preserve">Section 11.08 </w:t>
      </w:r>
      <w:r>
        <w:rPr>
          <w:rFonts w:ascii="Arial" w:cs="Arial" w:eastAsia="Arial" w:hAnsi="Arial"/>
          <w:sz w:val="20"/>
          <w:szCs w:val="20"/>
          <w:i w:val="1"/>
          <w:iCs w:val="1"/>
          <w:color w:val="auto"/>
        </w:rPr>
        <w:t>Separability Clause.</w:t>
      </w:r>
      <w:r>
        <w:rPr>
          <w:rFonts w:ascii="Arial" w:cs="Arial" w:eastAsia="Arial" w:hAnsi="Arial"/>
          <w:sz w:val="20"/>
          <w:szCs w:val="20"/>
          <w:color w:val="auto"/>
        </w:rPr>
        <w:t xml:space="preserve"> In case any provision in this Supplemental Indenture, in any Note or coupon or in any Note Guarantee shall be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 xml:space="preserve">Section 11.09 </w:t>
      </w:r>
      <w:r>
        <w:rPr>
          <w:rFonts w:ascii="Arial" w:cs="Arial" w:eastAsia="Arial" w:hAnsi="Arial"/>
          <w:sz w:val="19"/>
          <w:szCs w:val="19"/>
          <w:i w:val="1"/>
          <w:iCs w:val="1"/>
          <w:color w:val="auto"/>
        </w:rPr>
        <w:t>Ratification of Original Indenture.</w:t>
      </w:r>
      <w:r>
        <w:rPr>
          <w:rFonts w:ascii="Arial" w:cs="Arial" w:eastAsia="Arial" w:hAnsi="Arial"/>
          <w:sz w:val="19"/>
          <w:szCs w:val="19"/>
          <w:color w:val="auto"/>
        </w:rPr>
        <w:t xml:space="preserve"> The Original Indenture, as supplemented by this Supplemental Indenture, is in all respects ratified and confirmed, and this Supplemental Indenture shall be deemed part of the Original Indenture in the manner and to the extent herein and therein provided. For the avoidance of doubt, each of the Company, each of the Guarantors and each Holder of the Notes, by its acceptance of such Notes, acknowledges and agrees that all of the rights, privileges, protections, immunities, indemnities and benefits afforded to the Trustee under the Original Indenture are deemed to be incorporated herein, and shall be enforceable by the Trustee hereunder, in each of its capacities hereunder as if set forth herein in full.</w:t>
      </w:r>
    </w:p>
    <w:p>
      <w:pPr>
        <w:spacing w:after="0" w:line="17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 xml:space="preserve">Section 11.10 </w:t>
      </w:r>
      <w:r>
        <w:rPr>
          <w:rFonts w:ascii="Arial" w:cs="Arial" w:eastAsia="Arial" w:hAnsi="Arial"/>
          <w:sz w:val="20"/>
          <w:szCs w:val="20"/>
          <w:i w:val="1"/>
          <w:iCs w:val="1"/>
          <w:color w:val="auto"/>
        </w:rPr>
        <w:t>The Trustee.</w:t>
      </w:r>
      <w:r>
        <w:rPr>
          <w:rFonts w:ascii="Arial" w:cs="Arial" w:eastAsia="Arial" w:hAnsi="Arial"/>
          <w:sz w:val="20"/>
          <w:szCs w:val="20"/>
          <w:color w:val="auto"/>
        </w:rPr>
        <w:t xml:space="preserve"> The recitals in this Supplemental Indenture are made by the Company and the Guarantors only and not the Trustee, and all of the provisions contained in the Original Indenture in respect of the rights, privileges, immunities, powers and duties of the Trustee shall be applicable in respect of the Notes, the Note Guarantees and of this Supplemental Indenture as fully and with like effect as set forth in full herein.</w:t>
      </w:r>
    </w:p>
    <w:p>
      <w:pPr>
        <w:spacing w:after="0" w:line="192"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color w:val="auto"/>
        </w:rPr>
        <w:t>The Trustee accepts the amendments of the Indenture effected by this Supplemental Indenture, but on the terms and conditions set forth in the Indenture, including the terms and provisions defining and limiting the liabilities and responsibilities of the Trustee. Without limiting the generality of the foregoing, the Trustee shall not be responsible in any manner whatsoever for or with respect to any of the recitals or statements contained herein, all of which recitals or statements are made solely by the Company, or for or with respect to (i) the validity or sufficiency of this Supplemental Indenture or any of the terms or provisions hereof, (ii) the proper authorization hereof by the Company by action or otherwise, (iii) the due execution hereof by the Company or (iv) the consequences of any amendment herein provided for, and the Trustee makes no representation with respect to any such matters.</w:t>
      </w:r>
    </w:p>
    <w:p>
      <w:pPr>
        <w:spacing w:after="0" w:line="179"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color w:val="auto"/>
        </w:rPr>
        <w:t>Section 11.11</w:t>
      </w:r>
      <w:r>
        <w:rPr>
          <w:sz w:val="20"/>
          <w:szCs w:val="20"/>
          <w:color w:val="auto"/>
        </w:rPr>
        <w:tab/>
      </w:r>
      <w:r>
        <w:rPr>
          <w:rFonts w:ascii="Arial" w:cs="Arial" w:eastAsia="Arial" w:hAnsi="Arial"/>
          <w:sz w:val="16"/>
          <w:szCs w:val="16"/>
          <w:i w:val="1"/>
          <w:iCs w:val="1"/>
          <w:color w:val="auto"/>
        </w:rPr>
        <w:t>No Recourse Against Others.</w:t>
      </w:r>
    </w:p>
    <w:p>
      <w:pPr>
        <w:spacing w:after="0" w:line="216" w:lineRule="exact"/>
        <w:rPr>
          <w:sz w:val="20"/>
          <w:szCs w:val="20"/>
          <w:color w:val="auto"/>
        </w:rPr>
      </w:pPr>
    </w:p>
    <w:p>
      <w:pPr>
        <w:jc w:val="both"/>
        <w:ind w:right="220" w:firstLine="648"/>
        <w:spacing w:after="0" w:line="246" w:lineRule="auto"/>
        <w:rPr>
          <w:sz w:val="20"/>
          <w:szCs w:val="20"/>
          <w:color w:val="auto"/>
        </w:rPr>
      </w:pPr>
      <w:r>
        <w:rPr>
          <w:rFonts w:ascii="Arial" w:cs="Arial" w:eastAsia="Arial" w:hAnsi="Arial"/>
          <w:sz w:val="20"/>
          <w:szCs w:val="20"/>
          <w:color w:val="auto"/>
        </w:rPr>
        <w:t>No director, officer, employee, incorporator or stockholder of the Company or any Guarantor, as such, shall have any liability for any obligations of the Company or the Guarantors under the Notes, the Indenture, the Note Guarantees 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[Remainder of the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366" w:right="239" w:bottom="1440" w:gutter="0" w:footer="0" w:header="0"/>
        </w:sectPr>
      </w:pPr>
    </w:p>
    <w:bookmarkStart w:id="55" w:name="page56"/>
    <w:bookmarkEnd w:id="55"/>
    <w:p>
      <w:pPr>
        <w:ind w:right="2699" w:firstLine="648"/>
        <w:spacing w:after="0" w:line="263" w:lineRule="auto"/>
        <w:rPr>
          <w:sz w:val="20"/>
          <w:szCs w:val="20"/>
          <w:color w:val="auto"/>
        </w:rPr>
      </w:pPr>
      <w:r>
        <w:rPr>
          <w:rFonts w:ascii="Arial" w:cs="Arial" w:eastAsia="Arial" w:hAnsi="Arial"/>
          <w:sz w:val="22"/>
          <w:szCs w:val="22"/>
          <w:color w:val="auto"/>
        </w:rPr>
        <w:t>IN WITNESS WHEREOF, the parties hereto have executed this Supplemental Indenture as of the date first written above.</w:t>
      </w:r>
    </w:p>
    <w:p>
      <w:pPr>
        <w:spacing w:after="0" w:line="200" w:lineRule="exact"/>
        <w:rPr>
          <w:sz w:val="20"/>
          <w:szCs w:val="20"/>
          <w:color w:val="auto"/>
        </w:rPr>
      </w:pP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CHARLES RIVER LABORATORIES INTERNATIONAL, INC.</w:t>
      </w:r>
    </w:p>
    <w:p>
      <w:pPr>
        <w:spacing w:after="0" w:line="200" w:lineRule="exact"/>
        <w:rPr>
          <w:sz w:val="20"/>
          <w:szCs w:val="20"/>
          <w:color w:val="auto"/>
        </w:rPr>
      </w:pPr>
    </w:p>
    <w:p>
      <w:pPr>
        <w:spacing w:after="0" w:line="326" w:lineRule="exact"/>
        <w:rPr>
          <w:sz w:val="20"/>
          <w:szCs w:val="20"/>
          <w:color w:val="auto"/>
        </w:rPr>
      </w:pPr>
    </w:p>
    <w:tbl>
      <w:tblPr>
        <w:tblLayout w:type="fixed"/>
        <w:tblInd w:w="2000" w:type="dxa"/>
        <w:tblCellMar>
          <w:top w:w="0" w:type="dxa"/>
          <w:left w:w="0" w:type="dxa"/>
          <w:bottom w:w="0" w:type="dxa"/>
          <w:right w:w="0" w:type="dxa"/>
        </w:tblCellMar>
      </w:tblPr>
      <w:tr>
        <w:trPr>
          <w:trHeight w:val="299"/>
        </w:trPr>
        <w:tc>
          <w:tcPr>
            <w:tcW w:w="1220" w:type="dxa"/>
            <w:vAlign w:val="bottom"/>
          </w:tcPr>
          <w:p>
            <w:pPr>
              <w:spacing w:after="0"/>
              <w:rPr>
                <w:sz w:val="24"/>
                <w:szCs w:val="24"/>
                <w:color w:val="auto"/>
              </w:rPr>
            </w:pPr>
          </w:p>
        </w:tc>
        <w:tc>
          <w:tcPr>
            <w:tcW w:w="6080" w:type="dxa"/>
            <w:vAlign w:val="bottom"/>
          </w:tcPr>
          <w:p>
            <w:pPr>
              <w:ind w:left="3680"/>
              <w:spacing w:after="0"/>
              <w:rPr>
                <w:sz w:val="20"/>
                <w:szCs w:val="20"/>
                <w:color w:val="auto"/>
              </w:rPr>
            </w:pPr>
            <w:r>
              <w:rPr>
                <w:rFonts w:ascii="Arial" w:cs="Arial" w:eastAsia="Arial" w:hAnsi="Arial"/>
                <w:sz w:val="23"/>
                <w:szCs w:val="23"/>
                <w:color w:val="auto"/>
              </w:rPr>
              <w:t>`</w:t>
            </w:r>
          </w:p>
        </w:tc>
      </w:tr>
      <w:tr>
        <w:trPr>
          <w:trHeight w:val="423"/>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60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P. Johst</w:t>
            </w:r>
          </w:p>
        </w:tc>
      </w:tr>
      <w:tr>
        <w:trPr>
          <w:trHeight w:val="280"/>
        </w:trPr>
        <w:tc>
          <w:tcPr>
            <w:tcW w:w="1220" w:type="dxa"/>
            <w:vAlign w:val="bottom"/>
          </w:tcPr>
          <w:p>
            <w:pPr>
              <w:spacing w:after="0"/>
              <w:rPr>
                <w:sz w:val="20"/>
                <w:szCs w:val="20"/>
                <w:color w:val="auto"/>
              </w:rPr>
            </w:pPr>
            <w:r>
              <w:rPr>
                <w:rFonts w:ascii="Arial" w:cs="Arial" w:eastAsia="Arial" w:hAnsi="Arial"/>
                <w:sz w:val="22"/>
                <w:szCs w:val="22"/>
                <w:color w:val="auto"/>
              </w:rPr>
              <w:t>Name:</w:t>
            </w:r>
          </w:p>
        </w:tc>
        <w:tc>
          <w:tcPr>
            <w:tcW w:w="6080" w:type="dxa"/>
            <w:vAlign w:val="bottom"/>
          </w:tcPr>
          <w:p>
            <w:pPr>
              <w:ind w:left="40"/>
              <w:spacing w:after="0"/>
              <w:rPr>
                <w:sz w:val="20"/>
                <w:szCs w:val="20"/>
                <w:color w:val="auto"/>
              </w:rPr>
            </w:pPr>
            <w:r>
              <w:rPr>
                <w:rFonts w:ascii="Arial" w:cs="Arial" w:eastAsia="Arial" w:hAnsi="Arial"/>
                <w:sz w:val="22"/>
                <w:szCs w:val="22"/>
                <w:color w:val="auto"/>
              </w:rPr>
              <w:t>David P. Johst</w:t>
            </w:r>
          </w:p>
        </w:tc>
      </w:tr>
      <w:tr>
        <w:trPr>
          <w:trHeight w:val="297"/>
        </w:trPr>
        <w:tc>
          <w:tcPr>
            <w:tcW w:w="1220" w:type="dxa"/>
            <w:vAlign w:val="bottom"/>
          </w:tcPr>
          <w:p>
            <w:pPr>
              <w:spacing w:after="0"/>
              <w:rPr>
                <w:sz w:val="20"/>
                <w:szCs w:val="20"/>
                <w:color w:val="auto"/>
              </w:rPr>
            </w:pPr>
            <w:r>
              <w:rPr>
                <w:rFonts w:ascii="Arial" w:cs="Arial" w:eastAsia="Arial" w:hAnsi="Arial"/>
                <w:sz w:val="22"/>
                <w:szCs w:val="22"/>
                <w:color w:val="auto"/>
              </w:rPr>
              <w:t>Title:</w:t>
            </w:r>
          </w:p>
        </w:tc>
        <w:tc>
          <w:tcPr>
            <w:tcW w:w="6080" w:type="dxa"/>
            <w:vAlign w:val="bottom"/>
          </w:tcPr>
          <w:p>
            <w:pPr>
              <w:ind w:left="40"/>
              <w:spacing w:after="0"/>
              <w:rPr>
                <w:sz w:val="20"/>
                <w:szCs w:val="20"/>
                <w:color w:val="auto"/>
              </w:rPr>
            </w:pPr>
            <w:r>
              <w:rPr>
                <w:rFonts w:ascii="Arial" w:cs="Arial" w:eastAsia="Arial" w:hAnsi="Arial"/>
                <w:sz w:val="22"/>
                <w:szCs w:val="22"/>
                <w:color w:val="auto"/>
              </w:rPr>
              <w:t>Corporate Executive Vice President</w:t>
            </w:r>
          </w:p>
        </w:tc>
      </w:tr>
      <w:tr>
        <w:trPr>
          <w:trHeight w:val="297"/>
        </w:trPr>
        <w:tc>
          <w:tcPr>
            <w:tcW w:w="1220" w:type="dxa"/>
            <w:vAlign w:val="bottom"/>
          </w:tcPr>
          <w:p>
            <w:pPr>
              <w:spacing w:after="0"/>
              <w:rPr>
                <w:sz w:val="24"/>
                <w:szCs w:val="24"/>
                <w:color w:val="auto"/>
              </w:rPr>
            </w:pPr>
          </w:p>
        </w:tc>
        <w:tc>
          <w:tcPr>
            <w:tcW w:w="6080" w:type="dxa"/>
            <w:vAlign w:val="bottom"/>
          </w:tcPr>
          <w:p>
            <w:pPr>
              <w:ind w:left="40"/>
              <w:spacing w:after="0"/>
              <w:rPr>
                <w:sz w:val="20"/>
                <w:szCs w:val="20"/>
                <w:color w:val="auto"/>
              </w:rPr>
            </w:pPr>
            <w:r>
              <w:rPr>
                <w:rFonts w:ascii="Arial" w:cs="Arial" w:eastAsia="Arial" w:hAnsi="Arial"/>
                <w:sz w:val="22"/>
                <w:szCs w:val="22"/>
                <w:color w:val="auto"/>
              </w:rPr>
              <w:t>and General Counsel</w:t>
            </w:r>
          </w:p>
        </w:tc>
      </w:tr>
      <w:tr>
        <w:trPr>
          <w:trHeight w:val="918"/>
        </w:trPr>
        <w:tc>
          <w:tcPr>
            <w:tcW w:w="1220" w:type="dxa"/>
            <w:vAlign w:val="bottom"/>
          </w:tcPr>
          <w:p>
            <w:pPr>
              <w:spacing w:after="0"/>
              <w:rPr>
                <w:sz w:val="24"/>
                <w:szCs w:val="24"/>
                <w:color w:val="auto"/>
              </w:rPr>
            </w:pPr>
          </w:p>
        </w:tc>
        <w:tc>
          <w:tcPr>
            <w:tcW w:w="6080" w:type="dxa"/>
            <w:vAlign w:val="bottom"/>
          </w:tcPr>
          <w:p>
            <w:pPr>
              <w:ind w:left="500"/>
              <w:spacing w:after="0"/>
              <w:rPr>
                <w:sz w:val="20"/>
                <w:szCs w:val="20"/>
                <w:color w:val="auto"/>
              </w:rPr>
            </w:pPr>
            <w:r>
              <w:rPr>
                <w:rFonts w:ascii="Arial" w:cs="Arial" w:eastAsia="Arial" w:hAnsi="Arial"/>
                <w:sz w:val="22"/>
                <w:szCs w:val="22"/>
                <w:i w:val="1"/>
                <w:iCs w:val="1"/>
                <w:color w:val="auto"/>
              </w:rPr>
              <w:t>[Signature Page to Supplemental Indenture]</w:t>
            </w:r>
          </w:p>
        </w:tc>
      </w:tr>
    </w:tbl>
    <w:p>
      <w:pPr>
        <w:sectPr>
          <w:pgSz w:w="11900" w:h="16838" w:orient="portrait"/>
          <w:cols w:equalWidth="0" w:num="1">
            <w:col w:w="10139"/>
          </w:cols>
          <w:pgMar w:left="320" w:top="456" w:right="1440" w:bottom="1440" w:gutter="0" w:footer="0" w:header="0"/>
        </w:sectPr>
      </w:pPr>
    </w:p>
    <w:bookmarkStart w:id="56" w:name="page57"/>
    <w:bookmarkEnd w:id="56"/>
    <w:p>
      <w:pPr>
        <w:ind w:left="760"/>
        <w:spacing w:after="0"/>
        <w:rPr>
          <w:sz w:val="20"/>
          <w:szCs w:val="20"/>
          <w:color w:val="auto"/>
        </w:rPr>
      </w:pPr>
      <w:r>
        <w:rPr>
          <w:rFonts w:ascii="Arial" w:cs="Arial" w:eastAsia="Arial" w:hAnsi="Arial"/>
          <w:sz w:val="22"/>
          <w:szCs w:val="22"/>
          <w:color w:val="auto"/>
        </w:rPr>
        <w:t>CHARLES RIVER LABORATORIES ASHLAND,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2300" w:type="dxa"/>
        <w:tblCellMar>
          <w:top w:w="0" w:type="dxa"/>
          <w:left w:w="0" w:type="dxa"/>
          <w:bottom w:w="0" w:type="dxa"/>
          <w:right w:w="0" w:type="dxa"/>
        </w:tblCellMar>
      </w:tblPr>
      <w:tr>
        <w:trPr>
          <w:trHeight w:val="28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36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P. Johst</w:t>
            </w:r>
          </w:p>
        </w:tc>
      </w:tr>
      <w:tr>
        <w:trPr>
          <w:trHeight w:val="280"/>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3620" w:type="dxa"/>
            <w:vAlign w:val="bottom"/>
          </w:tcPr>
          <w:p>
            <w:pPr>
              <w:ind w:left="40"/>
              <w:spacing w:after="0"/>
              <w:rPr>
                <w:sz w:val="20"/>
                <w:szCs w:val="20"/>
                <w:color w:val="auto"/>
              </w:rPr>
            </w:pPr>
            <w:r>
              <w:rPr>
                <w:rFonts w:ascii="Arial" w:cs="Arial" w:eastAsia="Arial" w:hAnsi="Arial"/>
                <w:sz w:val="22"/>
                <w:szCs w:val="22"/>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Supplemental Indenture]</w:t>
      </w:r>
    </w:p>
    <w:p>
      <w:pPr>
        <w:sectPr>
          <w:pgSz w:w="11900" w:h="16838" w:orient="portrait"/>
          <w:cols w:equalWidth="0" w:num="1">
            <w:col w:w="9019"/>
          </w:cols>
          <w:pgMar w:left="1440" w:top="442" w:right="1440" w:bottom="1440" w:gutter="0" w:footer="0" w:header="0"/>
        </w:sectPr>
      </w:pPr>
    </w:p>
    <w:bookmarkStart w:id="57" w:name="page58"/>
    <w:bookmarkEnd w:id="57"/>
    <w:p>
      <w:pPr>
        <w:ind w:left="660"/>
        <w:spacing w:after="0"/>
        <w:rPr>
          <w:sz w:val="20"/>
          <w:szCs w:val="20"/>
          <w:color w:val="auto"/>
        </w:rPr>
      </w:pPr>
      <w:r>
        <w:rPr>
          <w:rFonts w:ascii="Arial" w:cs="Arial" w:eastAsia="Arial" w:hAnsi="Arial"/>
          <w:sz w:val="19"/>
          <w:szCs w:val="19"/>
          <w:color w:val="auto"/>
        </w:rPr>
        <w:t>CHARLES RIVER LABORATORIES I DELAWARE HOLDINGS, INC.</w:t>
      </w:r>
    </w:p>
    <w:p>
      <w:pPr>
        <w:sectPr>
          <w:pgSz w:w="11900" w:h="16838" w:orient="portrait"/>
          <w:cols w:equalWidth="0" w:num="1">
            <w:col w:w="9019"/>
          </w:cols>
          <w:pgMar w:left="1440" w:top="4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2300" w:type="dxa"/>
        <w:tblCellMar>
          <w:top w:w="0" w:type="dxa"/>
          <w:left w:w="0" w:type="dxa"/>
          <w:bottom w:w="0" w:type="dxa"/>
          <w:right w:w="0" w:type="dxa"/>
        </w:tblCellMar>
      </w:tblPr>
      <w:tr>
        <w:trPr>
          <w:trHeight w:val="28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36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P. Johst</w:t>
            </w:r>
          </w:p>
        </w:tc>
      </w:tr>
      <w:tr>
        <w:trPr>
          <w:trHeight w:val="280"/>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3620" w:type="dxa"/>
            <w:vAlign w:val="bottom"/>
          </w:tcPr>
          <w:p>
            <w:pPr>
              <w:ind w:left="40"/>
              <w:spacing w:after="0"/>
              <w:rPr>
                <w:sz w:val="20"/>
                <w:szCs w:val="20"/>
                <w:color w:val="auto"/>
              </w:rPr>
            </w:pPr>
            <w:r>
              <w:rPr>
                <w:rFonts w:ascii="Arial" w:cs="Arial" w:eastAsia="Arial" w:hAnsi="Arial"/>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Supplemental Indenture]</w:t>
      </w:r>
    </w:p>
    <w:p>
      <w:pPr>
        <w:sectPr>
          <w:pgSz w:w="11900" w:h="16838" w:orient="portrait"/>
          <w:cols w:equalWidth="0" w:num="1">
            <w:col w:w="9019"/>
          </w:cols>
          <w:pgMar w:left="1440" w:top="442" w:right="1440" w:bottom="1440" w:gutter="0" w:footer="0" w:header="0"/>
          <w:type w:val="continuous"/>
        </w:sectPr>
      </w:pPr>
    </w:p>
    <w:bookmarkStart w:id="58" w:name="page59"/>
    <w:bookmarkEnd w:id="58"/>
    <w:p>
      <w:pPr>
        <w:ind w:left="760"/>
        <w:spacing w:after="0"/>
        <w:rPr>
          <w:sz w:val="20"/>
          <w:szCs w:val="20"/>
          <w:color w:val="auto"/>
        </w:rPr>
      </w:pPr>
      <w:r>
        <w:rPr>
          <w:rFonts w:ascii="Arial" w:cs="Arial" w:eastAsia="Arial" w:hAnsi="Arial"/>
          <w:sz w:val="19"/>
          <w:szCs w:val="19"/>
          <w:color w:val="auto"/>
        </w:rPr>
        <w:t>CHARLES RIVER LABORATORIES II DELAWARE HOLDINGS, INC.</w:t>
      </w:r>
    </w:p>
    <w:p>
      <w:pPr>
        <w:sectPr>
          <w:pgSz w:w="11900" w:h="16838" w:orient="portrait"/>
          <w:cols w:equalWidth="0" w:num="1">
            <w:col w:w="9019"/>
          </w:cols>
          <w:pgMar w:left="1440" w:top="4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2300" w:type="dxa"/>
        <w:tblCellMar>
          <w:top w:w="0" w:type="dxa"/>
          <w:left w:w="0" w:type="dxa"/>
          <w:bottom w:w="0" w:type="dxa"/>
          <w:right w:w="0" w:type="dxa"/>
        </w:tblCellMar>
      </w:tblPr>
      <w:tr>
        <w:trPr>
          <w:trHeight w:val="28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36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P. Johst</w:t>
            </w:r>
          </w:p>
        </w:tc>
      </w:tr>
      <w:tr>
        <w:trPr>
          <w:trHeight w:val="280"/>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3620" w:type="dxa"/>
            <w:vAlign w:val="bottom"/>
          </w:tcPr>
          <w:p>
            <w:pPr>
              <w:ind w:left="40"/>
              <w:spacing w:after="0"/>
              <w:rPr>
                <w:sz w:val="20"/>
                <w:szCs w:val="20"/>
                <w:color w:val="auto"/>
              </w:rPr>
            </w:pPr>
            <w:r>
              <w:rPr>
                <w:rFonts w:ascii="Arial" w:cs="Arial" w:eastAsia="Arial" w:hAnsi="Arial"/>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Supplemental Indenture]</w:t>
      </w:r>
    </w:p>
    <w:p>
      <w:pPr>
        <w:sectPr>
          <w:pgSz w:w="11900" w:h="16838" w:orient="portrait"/>
          <w:cols w:equalWidth="0" w:num="1">
            <w:col w:w="9019"/>
          </w:cols>
          <w:pgMar w:left="1440" w:top="442" w:right="1440" w:bottom="1440" w:gutter="0" w:footer="0" w:header="0"/>
          <w:type w:val="continuous"/>
        </w:sectPr>
      </w:pPr>
    </w:p>
    <w:bookmarkStart w:id="59" w:name="page60"/>
    <w:bookmarkEnd w:id="59"/>
    <w:p>
      <w:pPr>
        <w:ind w:left="760"/>
        <w:spacing w:after="0"/>
        <w:rPr>
          <w:sz w:val="20"/>
          <w:szCs w:val="20"/>
          <w:color w:val="auto"/>
        </w:rPr>
      </w:pPr>
      <w:r>
        <w:rPr>
          <w:rFonts w:ascii="Arial" w:cs="Arial" w:eastAsia="Arial" w:hAnsi="Arial"/>
          <w:sz w:val="22"/>
          <w:szCs w:val="22"/>
          <w:color w:val="auto"/>
        </w:rPr>
        <w:t>CHARLES RIVER LABORATORIES SA USA,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2300" w:type="dxa"/>
        <w:tblCellMar>
          <w:top w:w="0" w:type="dxa"/>
          <w:left w:w="0" w:type="dxa"/>
          <w:bottom w:w="0" w:type="dxa"/>
          <w:right w:w="0" w:type="dxa"/>
        </w:tblCellMar>
      </w:tblPr>
      <w:tr>
        <w:trPr>
          <w:trHeight w:val="28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36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P. Johst</w:t>
            </w:r>
          </w:p>
        </w:tc>
      </w:tr>
      <w:tr>
        <w:trPr>
          <w:trHeight w:val="280"/>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3620" w:type="dxa"/>
            <w:vAlign w:val="bottom"/>
          </w:tcPr>
          <w:p>
            <w:pPr>
              <w:ind w:left="40"/>
              <w:spacing w:after="0"/>
              <w:rPr>
                <w:sz w:val="20"/>
                <w:szCs w:val="20"/>
                <w:color w:val="auto"/>
              </w:rPr>
            </w:pPr>
            <w:r>
              <w:rPr>
                <w:rFonts w:ascii="Arial" w:cs="Arial" w:eastAsia="Arial" w:hAnsi="Arial"/>
                <w:sz w:val="22"/>
                <w:szCs w:val="22"/>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Supplemental Indenture]</w:t>
      </w:r>
    </w:p>
    <w:p>
      <w:pPr>
        <w:sectPr>
          <w:pgSz w:w="11900" w:h="16838" w:orient="portrait"/>
          <w:cols w:equalWidth="0" w:num="1">
            <w:col w:w="9019"/>
          </w:cols>
          <w:pgMar w:left="1440" w:top="442" w:right="1440" w:bottom="1440" w:gutter="0" w:footer="0" w:header="0"/>
        </w:sectPr>
      </w:pPr>
    </w:p>
    <w:bookmarkStart w:id="60" w:name="page61"/>
    <w:bookmarkEnd w:id="60"/>
    <w:p>
      <w:pPr>
        <w:ind w:left="760"/>
        <w:spacing w:after="0"/>
        <w:rPr>
          <w:sz w:val="20"/>
          <w:szCs w:val="20"/>
          <w:color w:val="auto"/>
        </w:rPr>
      </w:pPr>
      <w:r>
        <w:rPr>
          <w:rFonts w:ascii="Arial" w:cs="Arial" w:eastAsia="Arial" w:hAnsi="Arial"/>
          <w:sz w:val="22"/>
          <w:szCs w:val="22"/>
          <w:color w:val="auto"/>
        </w:rPr>
        <w:t>CHARLES RIVER LABORATORIES,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340" w:type="dxa"/>
        <w:tblCellMar>
          <w:top w:w="0" w:type="dxa"/>
          <w:left w:w="0" w:type="dxa"/>
          <w:bottom w:w="0" w:type="dxa"/>
          <w:right w:w="0" w:type="dxa"/>
        </w:tblCellMar>
      </w:tblPr>
      <w:tr>
        <w:trPr>
          <w:trHeight w:val="285"/>
        </w:trPr>
        <w:tc>
          <w:tcPr>
            <w:tcW w:w="106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P. Johst</w:t>
            </w:r>
          </w:p>
        </w:tc>
      </w:tr>
      <w:tr>
        <w:trPr>
          <w:trHeight w:val="280"/>
        </w:trPr>
        <w:tc>
          <w:tcPr>
            <w:tcW w:w="106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20"/>
              <w:spacing w:after="0"/>
              <w:rPr>
                <w:sz w:val="20"/>
                <w:szCs w:val="20"/>
                <w:color w:val="auto"/>
              </w:rPr>
            </w:pPr>
            <w:r>
              <w:rPr>
                <w:rFonts w:ascii="Arial" w:cs="Arial" w:eastAsia="Arial" w:hAnsi="Arial"/>
                <w:sz w:val="22"/>
                <w:szCs w:val="22"/>
                <w:color w:val="auto"/>
              </w:rPr>
              <w:t>Corporate Executive Vice President</w:t>
            </w:r>
          </w:p>
        </w:tc>
      </w:tr>
      <w:tr>
        <w:trPr>
          <w:trHeight w:val="297"/>
        </w:trPr>
        <w:tc>
          <w:tcPr>
            <w:tcW w:w="10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22"/>
                <w:szCs w:val="22"/>
                <w:color w:val="auto"/>
              </w:rPr>
              <w:t>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[Signature Page to Supplemental Indenture]</w:t>
      </w:r>
    </w:p>
    <w:p>
      <w:pPr>
        <w:sectPr>
          <w:pgSz w:w="11900" w:h="16838" w:orient="portrait"/>
          <w:cols w:equalWidth="0" w:num="1">
            <w:col w:w="9019"/>
          </w:cols>
          <w:pgMar w:left="1440" w:top="442" w:right="1440" w:bottom="1440" w:gutter="0" w:footer="0" w:header="0"/>
        </w:sectPr>
      </w:pPr>
    </w:p>
    <w:bookmarkStart w:id="61" w:name="page62"/>
    <w:bookmarkEnd w:id="61"/>
    <w:p>
      <w:pPr>
        <w:ind w:left="760"/>
        <w:spacing w:after="0"/>
        <w:rPr>
          <w:sz w:val="20"/>
          <w:szCs w:val="20"/>
          <w:color w:val="auto"/>
        </w:rPr>
      </w:pPr>
      <w:r>
        <w:rPr>
          <w:rFonts w:ascii="Arial" w:cs="Arial" w:eastAsia="Arial" w:hAnsi="Arial"/>
          <w:sz w:val="22"/>
          <w:szCs w:val="22"/>
          <w:color w:val="auto"/>
        </w:rPr>
        <w:t>CRL SAFETY ASSESSMENT,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2300" w:type="dxa"/>
        <w:tblCellMar>
          <w:top w:w="0" w:type="dxa"/>
          <w:left w:w="0" w:type="dxa"/>
          <w:bottom w:w="0" w:type="dxa"/>
          <w:right w:w="0" w:type="dxa"/>
        </w:tblCellMar>
      </w:tblPr>
      <w:tr>
        <w:trPr>
          <w:trHeight w:val="28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36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P. Johst</w:t>
            </w:r>
          </w:p>
        </w:tc>
      </w:tr>
      <w:tr>
        <w:trPr>
          <w:trHeight w:val="280"/>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3620" w:type="dxa"/>
            <w:vAlign w:val="bottom"/>
          </w:tcPr>
          <w:p>
            <w:pPr>
              <w:ind w:left="40"/>
              <w:spacing w:after="0"/>
              <w:rPr>
                <w:sz w:val="20"/>
                <w:szCs w:val="20"/>
                <w:color w:val="auto"/>
              </w:rPr>
            </w:pPr>
            <w:r>
              <w:rPr>
                <w:rFonts w:ascii="Arial" w:cs="Arial" w:eastAsia="Arial" w:hAnsi="Arial"/>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Supplemental Indenture]</w:t>
      </w:r>
    </w:p>
    <w:p>
      <w:pPr>
        <w:sectPr>
          <w:pgSz w:w="11900" w:h="16838" w:orient="portrait"/>
          <w:cols w:equalWidth="0" w:num="1">
            <w:col w:w="9019"/>
          </w:cols>
          <w:pgMar w:left="1440" w:top="442" w:right="1440" w:bottom="1440" w:gutter="0" w:footer="0" w:header="0"/>
        </w:sectPr>
      </w:pPr>
    </w:p>
    <w:bookmarkStart w:id="62" w:name="page63"/>
    <w:bookmarkEnd w:id="62"/>
    <w:p>
      <w:pPr>
        <w:ind w:left="1400"/>
        <w:spacing w:after="0"/>
        <w:rPr>
          <w:sz w:val="20"/>
          <w:szCs w:val="20"/>
          <w:color w:val="auto"/>
        </w:rPr>
      </w:pPr>
      <w:r>
        <w:rPr>
          <w:rFonts w:ascii="Arial" w:cs="Arial" w:eastAsia="Arial" w:hAnsi="Arial"/>
          <w:sz w:val="20"/>
          <w:szCs w:val="20"/>
          <w:color w:val="auto"/>
        </w:rPr>
        <w:t>MUFG UNION BANK, N.A.,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8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3620" w:type="dxa"/>
            <w:vAlign w:val="bottom"/>
          </w:tcPr>
          <w:p>
            <w:pPr>
              <w:ind w:left="20"/>
              <w:spacing w:after="0"/>
              <w:rPr>
                <w:sz w:val="20"/>
                <w:szCs w:val="20"/>
                <w:color w:val="auto"/>
              </w:rPr>
            </w:pPr>
            <w:r>
              <w:rPr>
                <w:rFonts w:ascii="Arial" w:cs="Arial" w:eastAsia="Arial" w:hAnsi="Arial"/>
                <w:sz w:val="20"/>
                <w:szCs w:val="20"/>
                <w:color w:val="auto"/>
              </w:rPr>
              <w:t>/s/ Marion Zinowski</w:t>
            </w:r>
          </w:p>
        </w:tc>
      </w:tr>
      <w:tr>
        <w:trPr>
          <w:trHeight w:val="23"/>
        </w:trPr>
        <w:tc>
          <w:tcPr>
            <w:tcW w:w="84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54"/>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3620" w:type="dxa"/>
            <w:vAlign w:val="bottom"/>
          </w:tcPr>
          <w:p>
            <w:pPr>
              <w:ind w:left="20"/>
              <w:spacing w:after="0"/>
              <w:rPr>
                <w:sz w:val="20"/>
                <w:szCs w:val="20"/>
                <w:color w:val="auto"/>
              </w:rPr>
            </w:pPr>
            <w:r>
              <w:rPr>
                <w:rFonts w:ascii="Arial" w:cs="Arial" w:eastAsia="Arial" w:hAnsi="Arial"/>
                <w:sz w:val="20"/>
                <w:szCs w:val="20"/>
                <w:color w:val="auto"/>
              </w:rPr>
              <w:t>Marion Zinowski</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362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ectPr>
          <w:pgSz w:w="11900" w:h="16838" w:orient="portrait"/>
          <w:cols w:equalWidth="0" w:num="1">
            <w:col w:w="9019"/>
          </w:cols>
          <w:pgMar w:left="1440" w:top="595" w:right="1440" w:bottom="1440" w:gutter="0" w:footer="0" w:header="0"/>
        </w:sectPr>
      </w:pPr>
    </w:p>
    <w:bookmarkStart w:id="63" w:name="page64"/>
    <w:bookmarkEnd w:id="63"/>
    <w:p>
      <w:pPr>
        <w:ind w:left="10140"/>
        <w:spacing w:after="0"/>
        <w:rPr>
          <w:sz w:val="20"/>
          <w:szCs w:val="20"/>
          <w:color w:val="auto"/>
        </w:rPr>
      </w:pPr>
      <w:r>
        <w:rPr>
          <w:rFonts w:ascii="Arial" w:cs="Arial" w:eastAsia="Arial" w:hAnsi="Arial"/>
          <w:sz w:val="19"/>
          <w:szCs w:val="19"/>
          <w:b w:val="1"/>
          <w:bCs w:val="1"/>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GUARANTORS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9160" w:type="dxa"/>
            <w:vAlign w:val="bottom"/>
            <w:tcBorders>
              <w:top w:val="single" w:sz="8" w:color="auto"/>
              <w:left w:val="single" w:sz="8" w:color="auto"/>
              <w:right w:val="single" w:sz="8" w:color="auto"/>
            </w:tcBorders>
          </w:tcPr>
          <w:p>
            <w:pPr>
              <w:ind w:left="4320"/>
              <w:spacing w:after="0"/>
              <w:rPr>
                <w:sz w:val="20"/>
                <w:szCs w:val="20"/>
                <w:color w:val="auto"/>
              </w:rPr>
            </w:pPr>
            <w:r>
              <w:rPr>
                <w:rFonts w:ascii="Arial" w:cs="Arial" w:eastAsia="Arial" w:hAnsi="Arial"/>
                <w:sz w:val="20"/>
                <w:szCs w:val="20"/>
                <w:b w:val="1"/>
                <w:bCs w:val="1"/>
                <w:color w:val="auto"/>
              </w:rPr>
              <w:t>Entity</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Jurisdiction of Formation</w:t>
            </w:r>
          </w:p>
        </w:tc>
      </w:tr>
      <w:tr>
        <w:trPr>
          <w:trHeight w:val="23"/>
        </w:trPr>
        <w:tc>
          <w:tcPr>
            <w:tcW w:w="91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4"/>
        </w:trPr>
        <w:tc>
          <w:tcPr>
            <w:tcW w:w="9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Charles River Laboratories Ashland,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1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4"/>
        </w:trPr>
        <w:tc>
          <w:tcPr>
            <w:tcW w:w="9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Charles River Laboratories I Delaware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1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4"/>
        </w:trPr>
        <w:tc>
          <w:tcPr>
            <w:tcW w:w="9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Charles River Laboratories II Delaware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1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4"/>
        </w:trPr>
        <w:tc>
          <w:tcPr>
            <w:tcW w:w="9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Charles River Laboratories SA USA,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1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4"/>
        </w:trPr>
        <w:tc>
          <w:tcPr>
            <w:tcW w:w="9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Charles River Laboratories,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1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4"/>
        </w:trPr>
        <w:tc>
          <w:tcPr>
            <w:tcW w:w="9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CRL Safety Assessment,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DE</w:t>
            </w:r>
          </w:p>
        </w:tc>
      </w:tr>
      <w:tr>
        <w:trPr>
          <w:trHeight w:val="23"/>
        </w:trPr>
        <w:tc>
          <w:tcPr>
            <w:tcW w:w="91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89" w:right="2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APPENDIX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PROVISIONS RELATING TO INITIAL NOTES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procedures shall apply to the Notes. Capitalized terms used but not defined in this Appendix A shall have the meaning given to such terms in this Indenture to which this Appendix A is attached.</w:t>
      </w:r>
    </w:p>
    <w:p>
      <w:pPr>
        <w:spacing w:after="0" w:line="170" w:lineRule="exact"/>
        <w:rPr>
          <w:sz w:val="20"/>
          <w:szCs w:val="20"/>
          <w:color w:val="auto"/>
        </w:rPr>
      </w:pPr>
    </w:p>
    <w:p>
      <w:pPr>
        <w:ind w:left="840" w:hanging="184"/>
        <w:spacing w:after="0"/>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the purposes of this Appendix A and this Indenture as a whole, the following terms shall have the meanings indicated below:</w:t>
      </w:r>
    </w:p>
    <w:p>
      <w:pPr>
        <w:spacing w:after="0" w:line="225"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Euroclear and Clearstream that apply to such transfer or exchange.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xml:space="preserve">” means Clearstream Banking, </w:t>
      </w:r>
      <w:r>
        <w:rPr>
          <w:rFonts w:ascii="Arial" w:cs="Arial" w:eastAsia="Arial" w:hAnsi="Arial"/>
          <w:sz w:val="18"/>
          <w:szCs w:val="18"/>
          <w:i w:val="1"/>
          <w:iCs w:val="1"/>
          <w:color w:val="auto"/>
        </w:rPr>
        <w:t>sociètè anonyme</w:t>
      </w:r>
      <w:r>
        <w:rPr>
          <w:rFonts w:ascii="Arial" w:cs="Arial" w:eastAsia="Arial" w:hAnsi="Arial"/>
          <w:sz w:val="18"/>
          <w:szCs w:val="18"/>
          <w:color w:val="auto"/>
        </w:rPr>
        <w:t>.</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Note</w:t>
      </w:r>
      <w:r>
        <w:rPr>
          <w:rFonts w:ascii="Arial" w:cs="Arial" w:eastAsia="Arial" w:hAnsi="Arial"/>
          <w:sz w:val="18"/>
          <w:szCs w:val="18"/>
          <w:color w:val="auto"/>
        </w:rPr>
        <w:t>” means a certificated Initial Note (bearing the Restricted Securities Legend if the transfer of such Note is restricted by applicable law) that does not include the Global Notes Legend.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The Depository Trust Company, its nominees and their respective successors.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Euroclear Bank SA/NV</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Notes Legend</w:t>
      </w:r>
      <w:r>
        <w:rPr>
          <w:rFonts w:ascii="Arial" w:cs="Arial" w:eastAsia="Arial" w:hAnsi="Arial"/>
          <w:sz w:val="18"/>
          <w:szCs w:val="18"/>
          <w:color w:val="auto"/>
        </w:rPr>
        <w:t>” means the legend set forth under that caption in Exhibit A to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Notes</w:t>
      </w:r>
      <w:r>
        <w:rPr>
          <w:rFonts w:ascii="Arial" w:cs="Arial" w:eastAsia="Arial" w:hAnsi="Arial"/>
          <w:sz w:val="18"/>
          <w:szCs w:val="18"/>
          <w:color w:val="auto"/>
        </w:rPr>
        <w:t>” means all Initial Notes offered and sold outside the United States in reliance on Regulation S.</w:t>
      </w:r>
    </w:p>
    <w:p>
      <w:pPr>
        <w:spacing w:after="0" w:line="225"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Period</w:t>
      </w:r>
      <w:r>
        <w:rPr>
          <w:rFonts w:ascii="Arial" w:cs="Arial" w:eastAsia="Arial" w:hAnsi="Arial"/>
          <w:sz w:val="17"/>
          <w:szCs w:val="17"/>
          <w:color w:val="auto"/>
        </w:rPr>
        <w:t>” means, with respect to any Notes, the period of 40 consecutive days beginning on and including the later of (a) the day on which such Notes are first offered to persons other than distributors (as defined in Regulation S under the Securities Act) in reliance on Regulation S, notice of which day shall be promptly given by the Company to the Trustee, and (b) the Issue Date with respect to such Notes.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Securities Legend</w:t>
      </w:r>
      <w:r>
        <w:rPr>
          <w:rFonts w:ascii="Arial" w:cs="Arial" w:eastAsia="Arial" w:hAnsi="Arial"/>
          <w:sz w:val="18"/>
          <w:szCs w:val="18"/>
          <w:color w:val="auto"/>
        </w:rPr>
        <w:t>” means the legend set forth in Section 2.3(e)(i) herein.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 Notes</w:t>
      </w:r>
      <w:r>
        <w:rPr>
          <w:rFonts w:ascii="Arial" w:cs="Arial" w:eastAsia="Arial" w:hAnsi="Arial"/>
          <w:sz w:val="18"/>
          <w:szCs w:val="18"/>
          <w:color w:val="auto"/>
        </w:rPr>
        <w:t>” means all Initial Notes offered and sold to QIBs in reliance on Rule 144A.</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Custodian</w:t>
      </w:r>
      <w:r>
        <w:rPr>
          <w:rFonts w:ascii="Arial" w:cs="Arial" w:eastAsia="Arial" w:hAnsi="Arial"/>
          <w:sz w:val="18"/>
          <w:szCs w:val="18"/>
          <w:color w:val="auto"/>
        </w:rPr>
        <w:t>” means the custodian with respect to a Global Note (as appointed by the Depositary) or any successor person thereto, who shall initially be the Trustee.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Restricted Notes</w:t>
      </w:r>
      <w:r>
        <w:rPr>
          <w:rFonts w:ascii="Arial" w:cs="Arial" w:eastAsia="Arial" w:hAnsi="Arial"/>
          <w:sz w:val="16"/>
          <w:szCs w:val="16"/>
          <w:color w:val="auto"/>
        </w:rPr>
        <w:t>” means Definitive Notes and any other Notes that bear or are required to bear the Restricted Securities Legend.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w:t>
      </w:r>
    </w:p>
    <w:p>
      <w:pPr>
        <w:sectPr>
          <w:pgSz w:w="11900" w:h="16838" w:orient="portrait"/>
          <w:cols w:equalWidth="0" w:num="1">
            <w:col w:w="11420"/>
          </w:cols>
          <w:pgMar w:left="240" w:top="364"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Definitions</w:t>
      </w:r>
    </w:p>
    <w:p>
      <w:pPr>
        <w:spacing w:after="0" w:line="22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w:t>
      </w:r>
      <w:r>
        <w:rPr>
          <w:sz w:val="20"/>
          <w:szCs w:val="20"/>
          <w:color w:val="auto"/>
        </w:rPr>
        <w:tab/>
      </w:r>
      <w:r>
        <w:rPr>
          <w:rFonts w:ascii="Arial" w:cs="Arial" w:eastAsia="Arial" w:hAnsi="Arial"/>
          <w:sz w:val="18"/>
          <w:szCs w:val="18"/>
          <w:u w:val="single" w:color="auto"/>
          <w:color w:val="auto"/>
        </w:rPr>
        <w:t>Defined in Section</w:t>
      </w:r>
      <w:r>
        <w:rPr>
          <w:rFonts w:ascii="Arial" w:cs="Arial" w:eastAsia="Arial" w:hAnsi="Arial"/>
          <w:sz w:val="18"/>
          <w:szCs w:val="18"/>
          <w:color w:val="auto"/>
        </w:rPr>
        <w:t>:</w:t>
      </w:r>
    </w:p>
    <w:p>
      <w:pPr>
        <w:spacing w:after="0" w:line="216" w:lineRule="exact"/>
        <w:rPr>
          <w:sz w:val="20"/>
          <w:szCs w:val="20"/>
          <w:color w:val="auto"/>
        </w:rPr>
      </w:pPr>
    </w:p>
    <w:p>
      <w:pPr>
        <w:spacing w:after="0"/>
        <w:tabs>
          <w:tab w:leader="none" w:pos="1640" w:val="left"/>
        </w:tabs>
        <w:rPr>
          <w:sz w:val="20"/>
          <w:szCs w:val="20"/>
          <w:color w:val="auto"/>
        </w:rPr>
      </w:pPr>
      <w:r>
        <w:rPr>
          <w:rFonts w:ascii="Arial" w:cs="Arial" w:eastAsia="Arial" w:hAnsi="Arial"/>
          <w:sz w:val="20"/>
          <w:szCs w:val="20"/>
          <w:color w:val="auto"/>
        </w:rPr>
        <w:t>“Agent Members”</w:t>
      </w:r>
      <w:r>
        <w:rPr>
          <w:sz w:val="20"/>
          <w:szCs w:val="20"/>
          <w:color w:val="auto"/>
        </w:rPr>
        <w:tab/>
      </w:r>
      <w:r>
        <w:rPr>
          <w:rFonts w:ascii="Arial" w:cs="Arial" w:eastAsia="Arial" w:hAnsi="Arial"/>
          <w:sz w:val="16"/>
          <w:szCs w:val="16"/>
          <w:color w:val="auto"/>
        </w:rPr>
        <w:t>2.1(c)</w:t>
      </w:r>
    </w:p>
    <w:p>
      <w:pPr>
        <w:spacing w:after="0" w:line="15"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color w:val="auto"/>
        </w:rPr>
        <w:t>“Global Note”</w:t>
      </w:r>
      <w:r>
        <w:rPr>
          <w:sz w:val="20"/>
          <w:szCs w:val="20"/>
          <w:color w:val="auto"/>
        </w:rPr>
        <w:tab/>
      </w:r>
      <w:r>
        <w:rPr>
          <w:rFonts w:ascii="Arial" w:cs="Arial" w:eastAsia="Arial" w:hAnsi="Arial"/>
          <w:sz w:val="18"/>
          <w:szCs w:val="18"/>
          <w:color w:val="auto"/>
        </w:rPr>
        <w:t>2.1(b)</w:t>
      </w:r>
    </w:p>
    <w:p>
      <w:pPr>
        <w:spacing w:after="0"/>
        <w:tabs>
          <w:tab w:leader="none" w:pos="2420" w:val="left"/>
        </w:tabs>
        <w:rPr>
          <w:sz w:val="20"/>
          <w:szCs w:val="20"/>
          <w:color w:val="auto"/>
        </w:rPr>
      </w:pPr>
      <w:r>
        <w:rPr>
          <w:rFonts w:ascii="Arial" w:cs="Arial" w:eastAsia="Arial" w:hAnsi="Arial"/>
          <w:sz w:val="20"/>
          <w:szCs w:val="20"/>
          <w:color w:val="auto"/>
        </w:rPr>
        <w:t>“Regulation S Global Note”</w:t>
      </w:r>
      <w:r>
        <w:rPr>
          <w:sz w:val="20"/>
          <w:szCs w:val="20"/>
          <w:color w:val="auto"/>
        </w:rPr>
        <w:tab/>
      </w:r>
      <w:r>
        <w:rPr>
          <w:rFonts w:ascii="Arial" w:cs="Arial" w:eastAsia="Arial" w:hAnsi="Arial"/>
          <w:sz w:val="18"/>
          <w:szCs w:val="18"/>
          <w:color w:val="auto"/>
        </w:rPr>
        <w:t>2.1(b)</w:t>
      </w:r>
    </w:p>
    <w:p>
      <w:pPr>
        <w:spacing w:after="0"/>
        <w:tabs>
          <w:tab w:leader="none" w:pos="2240" w:val="left"/>
        </w:tabs>
        <w:rPr>
          <w:sz w:val="20"/>
          <w:szCs w:val="20"/>
          <w:color w:val="auto"/>
        </w:rPr>
      </w:pPr>
      <w:r>
        <w:rPr>
          <w:rFonts w:ascii="Arial" w:cs="Arial" w:eastAsia="Arial" w:hAnsi="Arial"/>
          <w:sz w:val="20"/>
          <w:szCs w:val="20"/>
          <w:color w:val="auto"/>
        </w:rPr>
        <w:t>“Rule 144A Global Note”</w:t>
      </w:r>
      <w:r>
        <w:rPr>
          <w:sz w:val="20"/>
          <w:szCs w:val="20"/>
          <w:color w:val="auto"/>
        </w:rPr>
        <w:tab/>
      </w:r>
      <w:r>
        <w:rPr>
          <w:rFonts w:ascii="Arial" w:cs="Arial" w:eastAsia="Arial" w:hAnsi="Arial"/>
          <w:sz w:val="18"/>
          <w:szCs w:val="18"/>
          <w:color w:val="auto"/>
        </w:rPr>
        <w:t>2.1(b)</w:t>
      </w:r>
    </w:p>
    <w:p>
      <w:pPr>
        <w:spacing w:after="0" w:line="202" w:lineRule="exact"/>
        <w:rPr>
          <w:sz w:val="20"/>
          <w:szCs w:val="20"/>
          <w:color w:val="auto"/>
        </w:rPr>
      </w:pPr>
    </w:p>
    <w:p>
      <w:pPr>
        <w:ind w:left="840" w:hanging="184"/>
        <w:spacing w:after="0"/>
        <w:tabs>
          <w:tab w:leader="none" w:pos="8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and Dating</w:t>
      </w:r>
    </w:p>
    <w:p>
      <w:pPr>
        <w:spacing w:after="0" w:line="225" w:lineRule="exact"/>
        <w:rPr>
          <w:sz w:val="20"/>
          <w:szCs w:val="20"/>
          <w:color w:val="auto"/>
        </w:rPr>
      </w:pPr>
    </w:p>
    <w:p>
      <w:pPr>
        <w:ind w:right="200" w:firstLine="1305"/>
        <w:spacing w:after="0" w:line="291" w:lineRule="auto"/>
        <w:tabs>
          <w:tab w:leader="none" w:pos="1541"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Initial Notes issued on the date hereof shall be (i) offered and sold by the Company pursuant to the Purchase Agreement, dated October 21, 2019, by and among the Company, the Guarantors party thereto and J.P. Morgan Securities LLC, as representative of the initial purchasers, and</w:t>
      </w:r>
    </w:p>
    <w:p>
      <w:pPr>
        <w:jc w:val="both"/>
        <w:ind w:right="100" w:firstLine="8"/>
        <w:spacing w:after="0" w:line="252" w:lineRule="auto"/>
        <w:tabs>
          <w:tab w:leader="none" w:pos="2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resold, initially only to (1) QIBs in reliance on Rule 144A and (2) Persons other than U.S. Persons (as defined in Regulation S) in reliance on Regulation S. Such Initial Notes may thereafter be transferred to, among others, (A) QIBs and purchasers in reliance on Regulation S and (B) pursuant to an exemption from registration under the Securities Act provided by Rule 144 thereunder (if applicable) or (C) in accordance with another exemption from the registration requirements of the Securities Act (and based upon an Opinion of Counsel acceptable to the Company if the Company so requests). Additional Notes offered after the date hereof may be offered and sold by the Company from time to time pursuant to one or more purchase agreements in accordance with applicable law.</w:t>
      </w:r>
    </w:p>
    <w:p>
      <w:pPr>
        <w:spacing w:after="0" w:line="194" w:lineRule="exact"/>
        <w:rPr>
          <w:rFonts w:ascii="Arial" w:cs="Arial" w:eastAsia="Arial" w:hAnsi="Arial"/>
          <w:sz w:val="18"/>
          <w:szCs w:val="18"/>
          <w:color w:val="auto"/>
        </w:rPr>
      </w:pPr>
    </w:p>
    <w:p>
      <w:pPr>
        <w:ind w:firstLine="1305"/>
        <w:spacing w:after="0" w:line="289" w:lineRule="auto"/>
        <w:tabs>
          <w:tab w:leader="none" w:pos="1551"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Global Notes.</w:t>
      </w:r>
      <w:r>
        <w:rPr>
          <w:rFonts w:ascii="Arial" w:cs="Arial" w:eastAsia="Arial" w:hAnsi="Arial"/>
          <w:sz w:val="16"/>
          <w:szCs w:val="16"/>
          <w:color w:val="auto"/>
        </w:rPr>
        <w:t xml:space="preserve"> Rule 144A Notes shall be issued initially in the form of one or more permanent Global Notes in definitive, fully registered form (collectively, the “</w:t>
      </w:r>
      <w:r>
        <w:rPr>
          <w:rFonts w:ascii="Arial" w:cs="Arial" w:eastAsia="Arial" w:hAnsi="Arial"/>
          <w:sz w:val="16"/>
          <w:szCs w:val="16"/>
          <w:u w:val="single" w:color="auto"/>
          <w:color w:val="auto"/>
        </w:rPr>
        <w:t>Rule 144A Global Note</w:t>
      </w:r>
      <w:r>
        <w:rPr>
          <w:rFonts w:ascii="Arial" w:cs="Arial" w:eastAsia="Arial" w:hAnsi="Arial"/>
          <w:sz w:val="16"/>
          <w:szCs w:val="16"/>
          <w:color w:val="auto"/>
        </w:rPr>
        <w:t>”) and Regulation S Notes shall be issued initially in the form of one or more Global Notes (collectively, the “</w:t>
      </w:r>
      <w:r>
        <w:rPr>
          <w:rFonts w:ascii="Arial" w:cs="Arial" w:eastAsia="Arial" w:hAnsi="Arial"/>
          <w:sz w:val="16"/>
          <w:szCs w:val="16"/>
          <w:u w:val="single" w:color="auto"/>
          <w:color w:val="auto"/>
        </w:rPr>
        <w:t>Regulation S Global Note</w:t>
      </w:r>
      <w:r>
        <w:rPr>
          <w:rFonts w:ascii="Arial" w:cs="Arial" w:eastAsia="Arial" w:hAnsi="Arial"/>
          <w:sz w:val="16"/>
          <w:szCs w:val="16"/>
          <w:color w:val="auto"/>
        </w:rPr>
        <w:t>”), in each case without interest coupons and bearing the Global Notes Legend and Restricted Securities Legend, which shall be deposited on behalf of the purchasers of the Notes represented thereby with the Securities Custodian, and registered in the name of the Depositary or a nominee of the Depositary, duly executed by the Company and authenticated by the Trustee as provided in this Indenture. Beneficial ownership interests in the Regulation S Global Note shall not be exchangeable for interests in the Rule 144A Global Note or any other Note without a Restricted Securities Legend until the expiration of the Restricted Period. The Rule 144A Global Note and the Regulation S Global Note are each referred to herein as a “</w:t>
      </w:r>
      <w:r>
        <w:rPr>
          <w:rFonts w:ascii="Arial" w:cs="Arial" w:eastAsia="Arial" w:hAnsi="Arial"/>
          <w:sz w:val="16"/>
          <w:szCs w:val="16"/>
          <w:u w:val="single" w:color="auto"/>
          <w:color w:val="auto"/>
        </w:rPr>
        <w:t>Global Note</w:t>
      </w:r>
      <w:r>
        <w:rPr>
          <w:rFonts w:ascii="Arial" w:cs="Arial" w:eastAsia="Arial" w:hAnsi="Arial"/>
          <w:sz w:val="16"/>
          <w:szCs w:val="16"/>
          <w:color w:val="auto"/>
        </w:rPr>
        <w:t>” and are collectively referred to herein as “</w:t>
      </w:r>
      <w:r>
        <w:rPr>
          <w:rFonts w:ascii="Arial" w:cs="Arial" w:eastAsia="Arial" w:hAnsi="Arial"/>
          <w:sz w:val="16"/>
          <w:szCs w:val="16"/>
          <w:u w:val="single" w:color="auto"/>
          <w:color w:val="auto"/>
        </w:rPr>
        <w:t>Global Notes</w:t>
      </w:r>
      <w:r>
        <w:rPr>
          <w:rFonts w:ascii="Arial" w:cs="Arial" w:eastAsia="Arial" w:hAnsi="Arial"/>
          <w:sz w:val="16"/>
          <w:szCs w:val="16"/>
          <w:color w:val="auto"/>
        </w:rPr>
        <w:t>”. The aggregate principal amount of the Global Notes may from time to time be increased or decreased by adjustments made on the records of the Trustee and the Depositary or its nominee and on the schedules thereto as hereinafter provided.</w:t>
      </w:r>
    </w:p>
    <w:p>
      <w:pPr>
        <w:spacing w:after="0" w:line="166" w:lineRule="exact"/>
        <w:rPr>
          <w:rFonts w:ascii="Arial" w:cs="Arial" w:eastAsia="Arial" w:hAnsi="Arial"/>
          <w:sz w:val="16"/>
          <w:szCs w:val="16"/>
          <w:color w:val="auto"/>
        </w:rPr>
      </w:pPr>
    </w:p>
    <w:p>
      <w:pPr>
        <w:ind w:left="1540" w:hanging="235"/>
        <w:spacing w:after="0"/>
        <w:tabs>
          <w:tab w:leader="none" w:pos="154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Book-Entry Provisions.</w:t>
      </w:r>
      <w:r>
        <w:rPr>
          <w:rFonts w:ascii="Arial" w:cs="Arial" w:eastAsia="Arial" w:hAnsi="Arial"/>
          <w:sz w:val="18"/>
          <w:szCs w:val="18"/>
          <w:color w:val="auto"/>
        </w:rPr>
        <w:t xml:space="preserve"> This Section 2.1(c) shall apply only to a Global Note deposited with or on behalf of the Depositary.</w:t>
      </w:r>
    </w:p>
    <w:p>
      <w:pPr>
        <w:spacing w:after="0" w:line="225"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The Company shall execute and the Trustee shall, in accordance with this Section 2.1(c) and Section 2.2 and pursuant to an Officer’s Certificate, authenticate and deliver initially one or more Global Notes that (i) shall be registered in the name of the Depositary for such Global Note or Global Notes or the nominee of such Depositary and (ii) shall be delivered by the Trustee to such Depositary or pursuant to such Depositary’s instructions or held by the Trustee as Securities Custodian.</w:t>
      </w:r>
    </w:p>
    <w:p>
      <w:pPr>
        <w:spacing w:after="0" w:line="187"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Members of, or participants in, the Depositary (“</w:t>
      </w:r>
      <w:r>
        <w:rPr>
          <w:rFonts w:ascii="Arial" w:cs="Arial" w:eastAsia="Arial" w:hAnsi="Arial"/>
          <w:sz w:val="18"/>
          <w:szCs w:val="18"/>
          <w:u w:val="single" w:color="auto"/>
          <w:color w:val="auto"/>
        </w:rPr>
        <w:t>Agent Members</w:t>
      </w:r>
      <w:r>
        <w:rPr>
          <w:rFonts w:ascii="Arial" w:cs="Arial" w:eastAsia="Arial" w:hAnsi="Arial"/>
          <w:sz w:val="18"/>
          <w:szCs w:val="18"/>
          <w:color w:val="auto"/>
        </w:rPr>
        <w:t>”) shall have no rights under this Indenture with respect to any Global Note held on their behalf by the Depositary or by the Trustee as Securities Custodian or under such Global Note, and the Depositary may be treated by the Company, the Trustee and any agent of the Company or the Trustee as the absolute owner of such Global Note for all purposes whatsoever. Notwithstanding the foregoing, nothing herein shall prevent the Company, the Trustee or any agent of the Company or the Trustee from giving effect to any written certification, proxy or other authorization furnished by the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I-2</w:t>
      </w:r>
    </w:p>
    <w:p>
      <w:pPr>
        <w:sectPr>
          <w:pgSz w:w="11900" w:h="16838" w:orient="portrait"/>
          <w:cols w:equalWidth="0" w:num="1">
            <w:col w:w="11420"/>
          </w:cols>
          <w:pgMar w:left="240" w:top="368" w:right="239" w:bottom="1440" w:gutter="0" w:footer="0" w:header="0"/>
        </w:sectPr>
      </w:pPr>
    </w:p>
    <w:bookmarkStart w:id="66" w:name="page67"/>
    <w:bookmarkEnd w:id="66"/>
    <w:p>
      <w:pPr>
        <w:ind w:right="200"/>
        <w:spacing w:after="0" w:line="277" w:lineRule="auto"/>
        <w:rPr>
          <w:sz w:val="20"/>
          <w:szCs w:val="20"/>
          <w:color w:val="auto"/>
        </w:rPr>
      </w:pPr>
      <w:r>
        <w:rPr>
          <w:rFonts w:ascii="Arial" w:cs="Arial" w:eastAsia="Arial" w:hAnsi="Arial"/>
          <w:sz w:val="18"/>
          <w:szCs w:val="18"/>
          <w:color w:val="auto"/>
        </w:rPr>
        <w:t>Depositary or impair, as between the Depositary and its Agent Members, the operation of customary practices of such Depositary governing the exercise of the rights of a Holder of a beneficial interest in any Global Note.</w:t>
      </w:r>
    </w:p>
    <w:p>
      <w:pPr>
        <w:spacing w:after="0" w:line="170" w:lineRule="exact"/>
        <w:rPr>
          <w:sz w:val="20"/>
          <w:szCs w:val="20"/>
          <w:color w:val="auto"/>
        </w:rPr>
      </w:pPr>
    </w:p>
    <w:p>
      <w:pPr>
        <w:ind w:right="80" w:firstLine="1305"/>
        <w:spacing w:after="0" w:line="277" w:lineRule="auto"/>
        <w:tabs>
          <w:tab w:leader="none" w:pos="155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Definitive Notes.</w:t>
      </w:r>
      <w:r>
        <w:rPr>
          <w:rFonts w:ascii="Arial" w:cs="Arial" w:eastAsia="Arial" w:hAnsi="Arial"/>
          <w:sz w:val="18"/>
          <w:szCs w:val="18"/>
          <w:color w:val="auto"/>
        </w:rPr>
        <w:t xml:space="preserve"> Except as provided in Section 2.3 or 2.4, owners of beneficial interests in Global Notes shall not be entitled to receive physical delivery of certificated Notes.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Authentication.</w:t>
      </w:r>
      <w:r>
        <w:rPr>
          <w:rFonts w:ascii="Arial" w:cs="Arial" w:eastAsia="Arial" w:hAnsi="Arial"/>
          <w:sz w:val="18"/>
          <w:szCs w:val="18"/>
          <w:color w:val="auto"/>
        </w:rPr>
        <w:t xml:space="preserve"> The Trustee shall authenticate and deliver (a) on the Issue Date, an aggregate principal amount of $500,000,000 4.250% Senior Notes due 2028 and (b) subject to the terms of this Indenture, any Additional Notes for an original issuance specified in the Officer’s Certificate pursuant to Section 2.13 of this Indenture. The Officer’s Certificate with respect to the Additional Notes shall specify the amount of the Notes to be authenticated and the date on which such Notes are to be authenticated.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and Exchange.</w:t>
      </w:r>
    </w:p>
    <w:p>
      <w:pPr>
        <w:spacing w:after="0" w:line="225" w:lineRule="exact"/>
        <w:rPr>
          <w:sz w:val="20"/>
          <w:szCs w:val="20"/>
          <w:color w:val="auto"/>
        </w:rPr>
      </w:pPr>
    </w:p>
    <w:p>
      <w:pPr>
        <w:ind w:left="1540" w:hanging="235"/>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Definitive Notes.</w:t>
      </w:r>
      <w:r>
        <w:rPr>
          <w:rFonts w:ascii="Arial" w:cs="Arial" w:eastAsia="Arial" w:hAnsi="Arial"/>
          <w:sz w:val="18"/>
          <w:szCs w:val="18"/>
          <w:color w:val="auto"/>
        </w:rPr>
        <w:t xml:space="preserve"> When Definitive Notes are presented to the Registrar with a request:</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register the transfer of such Definitive Notes; or</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exchange such Definitive Notes for an equal principal amount of Definitive Notes of other authorized denominations,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Registrar shall register the transfer or make the exchange as requested if its reasonable requirements for such transaction are met;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Definitive Notes surrendered for transfer or exchange:</w:t>
      </w:r>
    </w:p>
    <w:p>
      <w:pPr>
        <w:spacing w:after="0" w:line="170" w:lineRule="exact"/>
        <w:rPr>
          <w:sz w:val="20"/>
          <w:szCs w:val="20"/>
          <w:color w:val="auto"/>
        </w:rPr>
      </w:pPr>
    </w:p>
    <w:p>
      <w:pPr>
        <w:ind w:left="660" w:right="480" w:firstLine="645"/>
        <w:spacing w:after="0" w:line="277" w:lineRule="auto"/>
        <w:tabs>
          <w:tab w:leader="none" w:pos="1563"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shall be duly endorsed or accompanied by a written instrument of transfer in form reasonably satisfactory to the Company and the Registrar, duly executed by the Holder thereof or its attorney duly authorized in writing; and</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the case of Transfer Restricted Notes, are accompanied by the following additional information and documents, as applicable:</w:t>
      </w:r>
    </w:p>
    <w:p>
      <w:pPr>
        <w:spacing w:after="0" w:line="236" w:lineRule="exact"/>
        <w:rPr>
          <w:rFonts w:ascii="Arial" w:cs="Arial" w:eastAsia="Arial" w:hAnsi="Arial"/>
          <w:sz w:val="17"/>
          <w:szCs w:val="17"/>
          <w:color w:val="auto"/>
        </w:rPr>
      </w:pPr>
    </w:p>
    <w:p>
      <w:pPr>
        <w:ind w:left="1300" w:right="200" w:firstLine="653"/>
        <w:spacing w:after="0" w:line="308" w:lineRule="auto"/>
        <w:tabs>
          <w:tab w:leader="none" w:pos="2243" w:val="left"/>
        </w:tabs>
        <w:numPr>
          <w:ilvl w:val="1"/>
          <w:numId w:val="83"/>
        </w:numPr>
        <w:rPr>
          <w:rFonts w:ascii="Arial" w:cs="Arial" w:eastAsia="Arial" w:hAnsi="Arial"/>
          <w:sz w:val="17"/>
          <w:szCs w:val="17"/>
          <w:color w:val="auto"/>
        </w:rPr>
      </w:pPr>
      <w:r>
        <w:rPr>
          <w:rFonts w:ascii="Arial" w:cs="Arial" w:eastAsia="Arial" w:hAnsi="Arial"/>
          <w:sz w:val="17"/>
          <w:szCs w:val="17"/>
          <w:color w:val="auto"/>
        </w:rPr>
        <w:t>if such Definitive Notes are being delivered to the Registrar by a Holder for registration in the name of such Holder, without transfer, a certification from such Holder to that effect (in the form set forth on the reverse side of the Initial Note); or</w:t>
      </w:r>
    </w:p>
    <w:p>
      <w:pPr>
        <w:spacing w:after="0" w:line="146" w:lineRule="exact"/>
        <w:rPr>
          <w:rFonts w:ascii="Arial" w:cs="Arial" w:eastAsia="Arial" w:hAnsi="Arial"/>
          <w:sz w:val="17"/>
          <w:szCs w:val="17"/>
          <w:color w:val="auto"/>
        </w:rPr>
      </w:pPr>
    </w:p>
    <w:p>
      <w:pPr>
        <w:ind w:left="1300" w:right="80" w:firstLine="653"/>
        <w:spacing w:after="0" w:line="277" w:lineRule="auto"/>
        <w:tabs>
          <w:tab w:leader="none" w:pos="2233" w:val="left"/>
        </w:tabs>
        <w:numPr>
          <w:ilvl w:val="1"/>
          <w:numId w:val="83"/>
        </w:numPr>
        <w:rPr>
          <w:rFonts w:ascii="Arial" w:cs="Arial" w:eastAsia="Arial" w:hAnsi="Arial"/>
          <w:sz w:val="18"/>
          <w:szCs w:val="18"/>
          <w:color w:val="auto"/>
        </w:rPr>
      </w:pPr>
      <w:r>
        <w:rPr>
          <w:rFonts w:ascii="Arial" w:cs="Arial" w:eastAsia="Arial" w:hAnsi="Arial"/>
          <w:sz w:val="18"/>
          <w:szCs w:val="18"/>
          <w:color w:val="auto"/>
        </w:rPr>
        <w:t>if such Definitive Notes are being transferred to the Company, a certification to that effect (in the form set forth on the reverse side of the Initial Note); or</w:t>
      </w:r>
    </w:p>
    <w:p>
      <w:pPr>
        <w:spacing w:after="0" w:line="170" w:lineRule="exact"/>
        <w:rPr>
          <w:rFonts w:ascii="Arial" w:cs="Arial" w:eastAsia="Arial" w:hAnsi="Arial"/>
          <w:sz w:val="18"/>
          <w:szCs w:val="18"/>
          <w:color w:val="auto"/>
        </w:rPr>
      </w:pPr>
    </w:p>
    <w:p>
      <w:pPr>
        <w:ind w:left="1300" w:firstLine="653"/>
        <w:spacing w:after="0" w:line="279" w:lineRule="auto"/>
        <w:tabs>
          <w:tab w:leader="none" w:pos="2233" w:val="left"/>
        </w:tabs>
        <w:numPr>
          <w:ilvl w:val="1"/>
          <w:numId w:val="83"/>
        </w:numPr>
        <w:rPr>
          <w:rFonts w:ascii="Arial" w:cs="Arial" w:eastAsia="Arial" w:hAnsi="Arial"/>
          <w:sz w:val="17"/>
          <w:szCs w:val="17"/>
          <w:color w:val="auto"/>
        </w:rPr>
      </w:pPr>
      <w:r>
        <w:rPr>
          <w:rFonts w:ascii="Arial" w:cs="Arial" w:eastAsia="Arial" w:hAnsi="Arial"/>
          <w:sz w:val="17"/>
          <w:szCs w:val="17"/>
          <w:color w:val="auto"/>
        </w:rPr>
        <w:t>if such Definitive Notes are being transferred pursuant to an exemption from registration under the Securities Act or in reliance upon an exemption from the registration requirements of the Securities Act, (x) a certification to that effect (in the form set forth on the reverse side of the Initial Note) and (y) if the Company so requests, an opinion of counsel or other evidence reasonably satisfactory to it as to the compliance with the restrictions set forth in the legend set forth in Section 2.3(e)(i).</w:t>
      </w:r>
    </w:p>
    <w:p>
      <w:pPr>
        <w:spacing w:after="0" w:line="171" w:lineRule="exact"/>
        <w:rPr>
          <w:sz w:val="20"/>
          <w:szCs w:val="20"/>
          <w:color w:val="auto"/>
        </w:rPr>
      </w:pPr>
    </w:p>
    <w:p>
      <w:pPr>
        <w:ind w:right="200" w:firstLine="1305"/>
        <w:spacing w:after="0" w:line="312" w:lineRule="auto"/>
        <w:tabs>
          <w:tab w:leader="none" w:pos="1551"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a Definitive Note for a Beneficial Interest in a Global Note.</w:t>
      </w:r>
      <w:r>
        <w:rPr>
          <w:rFonts w:ascii="Arial" w:cs="Arial" w:eastAsia="Arial" w:hAnsi="Arial"/>
          <w:sz w:val="16"/>
          <w:szCs w:val="16"/>
          <w:color w:val="auto"/>
        </w:rPr>
        <w:t xml:space="preserve"> A Definitive Note may not be exchanged for a beneficial interest in a Global Note except upon satisfaction of the requirements set forth below. Upon receipt by the Trustee of a Definitive Note, duly endorsed or accompanied by a written instrument of transfer in form reasonably satisfactory to the Company and the Registrar, together with:</w:t>
      </w:r>
    </w:p>
    <w:p>
      <w:pPr>
        <w:spacing w:after="0" w:line="147" w:lineRule="exact"/>
        <w:rPr>
          <w:sz w:val="20"/>
          <w:szCs w:val="20"/>
          <w:color w:val="auto"/>
        </w:rPr>
      </w:pPr>
    </w:p>
    <w:p>
      <w:pPr>
        <w:ind w:left="660" w:right="160" w:firstLine="645"/>
        <w:spacing w:after="0" w:line="264" w:lineRule="auto"/>
        <w:tabs>
          <w:tab w:leader="none" w:pos="1523"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certification (in the form set forth on the reverse side of the Initial Note) that such Definitive Note is being transferred (1) to the Company, (2) to the Registrar for registration in the name of a Holder, without transfer, (3) pursuant to an effective registration statement under the Securities Act, (4) to a QIB in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I-3</w:t>
      </w:r>
    </w:p>
    <w:p>
      <w:pPr>
        <w:sectPr>
          <w:pgSz w:w="11900" w:h="16838" w:orient="portrait"/>
          <w:cols w:equalWidth="0" w:num="1">
            <w:col w:w="11400"/>
          </w:cols>
          <w:pgMar w:left="240" w:top="368" w:right="259" w:bottom="1440" w:gutter="0" w:footer="0" w:header="0"/>
        </w:sectPr>
      </w:pPr>
    </w:p>
    <w:bookmarkStart w:id="67" w:name="page68"/>
    <w:bookmarkEnd w:id="67"/>
    <w:p>
      <w:pPr>
        <w:ind w:left="660" w:right="20"/>
        <w:spacing w:after="0" w:line="259" w:lineRule="auto"/>
        <w:rPr>
          <w:sz w:val="20"/>
          <w:szCs w:val="20"/>
          <w:color w:val="auto"/>
        </w:rPr>
      </w:pPr>
      <w:r>
        <w:rPr>
          <w:rFonts w:ascii="Arial" w:cs="Arial" w:eastAsia="Arial" w:hAnsi="Arial"/>
          <w:sz w:val="18"/>
          <w:szCs w:val="18"/>
          <w:color w:val="auto"/>
        </w:rPr>
        <w:t>accordance with Rule 144A, (5) outside the United States in an offshore transaction within the meaning of Regulation S and in compliance with Rule 904 under the Securities Act, (6) in accordance with another exemption from the registration requirements of the Securities Act (and based upon an opinion of counsel acceptable to the Company if the Company so requests) or (7) pursuant to another available exemption from registration provided by Rule 144 under the Securities Act; and</w:t>
      </w:r>
    </w:p>
    <w:p>
      <w:pPr>
        <w:spacing w:after="0" w:line="187" w:lineRule="exact"/>
        <w:rPr>
          <w:sz w:val="20"/>
          <w:szCs w:val="20"/>
          <w:color w:val="auto"/>
        </w:rPr>
      </w:pPr>
    </w:p>
    <w:p>
      <w:pPr>
        <w:ind w:left="660" w:right="120" w:firstLine="645"/>
        <w:spacing w:after="0" w:line="264" w:lineRule="auto"/>
        <w:tabs>
          <w:tab w:leader="none" w:pos="1573" w:val="left"/>
        </w:tabs>
        <w:numPr>
          <w:ilvl w:val="0"/>
          <w:numId w:val="86"/>
        </w:numPr>
        <w:rPr>
          <w:rFonts w:ascii="Arial" w:cs="Arial" w:eastAsia="Arial" w:hAnsi="Arial"/>
          <w:sz w:val="18"/>
          <w:szCs w:val="18"/>
          <w:color w:val="auto"/>
        </w:rPr>
      </w:pPr>
      <w:r>
        <w:rPr>
          <w:rFonts w:ascii="Arial" w:cs="Arial" w:eastAsia="Arial" w:hAnsi="Arial"/>
          <w:sz w:val="18"/>
          <w:szCs w:val="18"/>
          <w:color w:val="auto"/>
        </w:rPr>
        <w:t>written instructions directing the Trustee to make, or to direct the Securities Custodian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then the Trustee shall cancel such Definitive Note and cause, or direct the Securities Custodian to cause, in accordance with the standing instructions and procedures existing between the Depositary and the Securities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no Global Notes are then outstanding and the Global Note has not been previously exchanged for certificated Notes pursuant to Section 2.4, the Company shall issue and the Trustee shall authenticate, upon written order of the Company in the form of an Officer’s Certificate, a new Global Note in the appropriate principal amount.</w:t>
      </w:r>
    </w:p>
    <w:p>
      <w:pPr>
        <w:spacing w:after="0" w:line="165" w:lineRule="exact"/>
        <w:rPr>
          <w:sz w:val="20"/>
          <w:szCs w:val="20"/>
          <w:color w:val="auto"/>
        </w:rPr>
      </w:pPr>
    </w:p>
    <w:p>
      <w:pPr>
        <w:ind w:firstLine="1305"/>
        <w:spacing w:after="0" w:line="269" w:lineRule="auto"/>
        <w:tabs>
          <w:tab w:leader="none" w:pos="1541"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Transfer and Exchange of Global Notes.</w:t>
      </w:r>
      <w:r>
        <w:rPr>
          <w:rFonts w:ascii="Arial" w:cs="Arial" w:eastAsia="Arial" w:hAnsi="Arial"/>
          <w:sz w:val="17"/>
          <w:szCs w:val="17"/>
          <w:color w:val="auto"/>
        </w:rPr>
        <w:t xml:space="preserve"> (i) The transfer and exchange of Global Notes or beneficial interests therein shall be effected through the Depositary, in accordance with this Indenture (including applicable restrictions on transfer set forth herein, if any) and the procedures of the Depositary therefor. A transferor of a beneficial interest in a Global Note shall deliver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 Transfers by an owner of a beneficial interest in the Rule 144A Global Note to a transferee who takes delivery of such interest through the Regulation S Global Note, whether before or after the expiration of the Restricted Period, shall be made only upon receipt by the Trustee of a certification in the form provided on the reverse of the Initial Notes from the transferor to the effect that such transfer is being made in accordance with Regulation S or (if available) Rule 144 under the Securities Act and that, if such transfer is being made prior to the expiration of the Restricted Period, the interest transferred shall be held immediately thereafter through Euroclear or Clearstream.</w:t>
      </w:r>
    </w:p>
    <w:p>
      <w:pPr>
        <w:spacing w:after="0" w:line="183" w:lineRule="exact"/>
        <w:rPr>
          <w:sz w:val="20"/>
          <w:szCs w:val="20"/>
          <w:color w:val="auto"/>
        </w:rPr>
      </w:pPr>
    </w:p>
    <w:p>
      <w:pPr>
        <w:ind w:left="660" w:right="120" w:firstLine="645"/>
        <w:spacing w:after="0" w:line="279" w:lineRule="auto"/>
        <w:tabs>
          <w:tab w:leader="none" w:pos="1573"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the Global Note from which such interest is being transferred.</w:t>
      </w:r>
    </w:p>
    <w:p>
      <w:pPr>
        <w:spacing w:after="0" w:line="171" w:lineRule="exact"/>
        <w:rPr>
          <w:rFonts w:ascii="Arial" w:cs="Arial" w:eastAsia="Arial" w:hAnsi="Arial"/>
          <w:sz w:val="17"/>
          <w:szCs w:val="17"/>
          <w:color w:val="auto"/>
        </w:rPr>
      </w:pPr>
    </w:p>
    <w:p>
      <w:pPr>
        <w:ind w:left="660" w:right="260" w:firstLine="645"/>
        <w:spacing w:after="0" w:line="312" w:lineRule="auto"/>
        <w:tabs>
          <w:tab w:leader="none" w:pos="1623"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Notwithstanding any other provisions of this Appendix (other than the provisions set forth in Section 2.4), a Global Note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47" w:lineRule="exact"/>
        <w:rPr>
          <w:sz w:val="20"/>
          <w:szCs w:val="20"/>
          <w:color w:val="auto"/>
        </w:rPr>
      </w:pPr>
    </w:p>
    <w:p>
      <w:pPr>
        <w:ind w:right="20" w:firstLine="1305"/>
        <w:spacing w:after="0" w:line="257" w:lineRule="auto"/>
        <w:tabs>
          <w:tab w:leader="none" w:pos="1551"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Regulation S Global Note.</w:t>
      </w:r>
      <w:r>
        <w:rPr>
          <w:rFonts w:ascii="Arial" w:cs="Arial" w:eastAsia="Arial" w:hAnsi="Arial"/>
          <w:sz w:val="18"/>
          <w:szCs w:val="18"/>
          <w:color w:val="auto"/>
        </w:rPr>
        <w:t xml:space="preserve"> (i) Prior to the expiration of the Restricted Period, interests in the Regulation S Global Note may only be held through Euroclear or Clearstream. During the Restricted Period, beneficial ownership interests in the Regulation S Global Note may only be sold, pledged or transferred through Euroclear or Clearstream in accordance with the Applicable Procedures and only (1) to the Company, (2) so long as such note is eligible for resale pursuant to Rule 144A, to a person whom the selling Holder reasonably believes is a QIB that purchases for its own account or for the account of a QIB to whom</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w:t>
      </w:r>
    </w:p>
    <w:p>
      <w:pPr>
        <w:sectPr>
          <w:pgSz w:w="11900" w:h="16838" w:orient="portrait"/>
          <w:cols w:equalWidth="0" w:num="1">
            <w:col w:w="11420"/>
          </w:cols>
          <w:pgMar w:left="240" w:top="368"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notice is given that the resale, pledge or transfer is being made in reliance on Rule 144A, (3) in an offshore transaction in accordance with Regulation S,</w:t>
      </w:r>
    </w:p>
    <w:p>
      <w:pPr>
        <w:spacing w:after="0" w:line="46" w:lineRule="exact"/>
        <w:rPr>
          <w:sz w:val="20"/>
          <w:szCs w:val="20"/>
          <w:color w:val="auto"/>
        </w:rPr>
      </w:pPr>
    </w:p>
    <w:p>
      <w:pPr>
        <w:ind w:right="20" w:firstLine="8"/>
        <w:spacing w:after="0" w:line="268" w:lineRule="auto"/>
        <w:tabs>
          <w:tab w:leader="none" w:pos="2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pursuant to an exemption from registration under the Securities Act provided by Rule 144 (if applicable) under the Securities Act, (5) in accordance with another exemption from the registration requirements of the Securities Act (and based upon an opinion of counsel acceptable to the Company if the Company so requests) or (6) pursuant to an effective registration statement under the Securities Act, in each case in accordance with any applicable securities laws of any state of the United States. Prior to the expiration of the Restricted Period, transfers by an owner of a beneficial interest in the Regulation S Global Note to a transferee who takes delivery of such interest through the Rule 144A Global Note shall be made only in accordance with Applicable Procedures and upon receipt by the Trustee of a written certification from the transferor of the beneficial interest in the form provided on the reverse of the Initial Note to the effect that such transfer is being made to a QIB within the meaning of Rule 144A in a transaction meeting the requirements of Rule 144A. Such written certification shall no longer be required after the expiration of the Restricted Period.</w:t>
      </w:r>
    </w:p>
    <w:p>
      <w:pPr>
        <w:spacing w:after="0" w:line="184" w:lineRule="exact"/>
        <w:rPr>
          <w:sz w:val="20"/>
          <w:szCs w:val="20"/>
          <w:color w:val="auto"/>
        </w:rPr>
      </w:pPr>
    </w:p>
    <w:p>
      <w:pPr>
        <w:ind w:left="660" w:right="360" w:firstLine="645"/>
        <w:spacing w:after="0" w:line="277" w:lineRule="auto"/>
        <w:tabs>
          <w:tab w:leader="none" w:pos="1573" w:val="left"/>
        </w:tabs>
        <w:numPr>
          <w:ilvl w:val="0"/>
          <w:numId w:val="91"/>
        </w:numPr>
        <w:rPr>
          <w:rFonts w:ascii="Arial" w:cs="Arial" w:eastAsia="Arial" w:hAnsi="Arial"/>
          <w:sz w:val="18"/>
          <w:szCs w:val="18"/>
          <w:color w:val="auto"/>
        </w:rPr>
      </w:pPr>
      <w:r>
        <w:rPr>
          <w:rFonts w:ascii="Arial" w:cs="Arial" w:eastAsia="Arial" w:hAnsi="Arial"/>
          <w:sz w:val="18"/>
          <w:szCs w:val="18"/>
          <w:color w:val="auto"/>
        </w:rPr>
        <w:t>Upon the expiration of the Restricted Period, beneficial ownership interests in the Regulation S Global Note shall be transferable in accordance with applicable law and the other terms of this Indenture.</w:t>
      </w:r>
    </w:p>
    <w:p>
      <w:pPr>
        <w:spacing w:after="0" w:line="170" w:lineRule="exact"/>
        <w:rPr>
          <w:sz w:val="20"/>
          <w:szCs w:val="20"/>
          <w:color w:val="auto"/>
        </w:rPr>
      </w:pPr>
    </w:p>
    <w:p>
      <w:pPr>
        <w:ind w:left="1540" w:hanging="235"/>
        <w:spacing w:after="0"/>
        <w:tabs>
          <w:tab w:leader="none" w:pos="15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Legend</w:t>
      </w:r>
    </w:p>
    <w:p>
      <w:pPr>
        <w:spacing w:after="0" w:line="225" w:lineRule="exact"/>
        <w:rPr>
          <w:sz w:val="20"/>
          <w:szCs w:val="20"/>
          <w:color w:val="auto"/>
        </w:rPr>
      </w:pPr>
    </w:p>
    <w:p>
      <w:pPr>
        <w:ind w:left="660" w:right="40" w:firstLine="645"/>
        <w:spacing w:after="0" w:line="264" w:lineRule="auto"/>
        <w:tabs>
          <w:tab w:leader="none" w:pos="1523"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Except as permitted by the following paragraphs (ii), (iii) or (iv),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w:t>
      </w:r>
    </w:p>
    <w:p>
      <w:pPr>
        <w:spacing w:after="0" w:line="181"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[IN THE CASE OF RULE 144A NOTES: SIX MONTHS AFTER THE LATER OF THE ORIGINAL ISSUE DATE HEREOF, THE ORIGINAL ISSUE DATE OF THE ISSUANCE OF ANY ADDITIONAL NOTES AND THE LAST DATE ON WHICH THE ISSUER OR ANY AFFILIATE OF THE ISSUER WAS THE OWNER OF THIS SECURITY (OR ANY PREDECESSOR OF SUCH SECURITY),] [IN THE CASE OF REGULATION S NOTES: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COMPANY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$250,000 OF SECURITIES OR (F) PURSUANT TO ANOTHER AVAILABLE EXEMPTION FROM THE REGISTRATION REQUIREMENTS OF</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I-5</w:t>
      </w:r>
    </w:p>
    <w:p>
      <w:pPr>
        <w:sectPr>
          <w:pgSz w:w="11900" w:h="16838" w:orient="portrait"/>
          <w:cols w:equalWidth="0" w:num="1">
            <w:col w:w="11400"/>
          </w:cols>
          <w:pgMar w:left="240" w:top="368" w:right="259" w:bottom="1440" w:gutter="0" w:footer="0" w:header="0"/>
        </w:sectPr>
      </w:pPr>
    </w:p>
    <w:bookmarkStart w:id="69" w:name="page70"/>
    <w:bookmarkEnd w:id="69"/>
    <w:p>
      <w:pPr>
        <w:ind w:right="40"/>
        <w:spacing w:after="0" w:line="273" w:lineRule="auto"/>
        <w:rPr>
          <w:sz w:val="20"/>
          <w:szCs w:val="20"/>
          <w:color w:val="auto"/>
        </w:rPr>
      </w:pPr>
      <w:r>
        <w:rPr>
          <w:rFonts w:ascii="Arial" w:cs="Arial" w:eastAsia="Arial" w:hAnsi="Arial"/>
          <w:sz w:val="17"/>
          <w:szCs w:val="17"/>
          <w:color w:val="auto"/>
        </w:rPr>
        <w:t>THE SECURITIES ACT, SUBJECT TO THE COMPANY’S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 [IN THE CASE OF REGULATION S NOTES: 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78" w:lineRule="exact"/>
        <w:rPr>
          <w:sz w:val="20"/>
          <w:szCs w:val="20"/>
          <w:color w:val="auto"/>
        </w:rPr>
      </w:pPr>
    </w:p>
    <w:p>
      <w:pPr>
        <w:ind w:firstLine="1297"/>
        <w:spacing w:after="0" w:line="252" w:lineRule="auto"/>
        <w:rPr>
          <w:sz w:val="20"/>
          <w:szCs w:val="20"/>
          <w:color w:val="auto"/>
        </w:rPr>
      </w:pPr>
      <w:r>
        <w:rPr>
          <w:rFonts w:ascii="Arial" w:cs="Arial" w:eastAsia="Arial" w:hAnsi="Arial"/>
          <w:sz w:val="18"/>
          <w:szCs w:val="18"/>
          <w:color w:val="auto"/>
        </w:rPr>
        <w:t>BY ITS ACQUISITION OF THIS SECURITY, THE HOLDER THEREOF WILL BE DEEMED TO HAVE REPRESENTED AND WARRANTED THAT EITHER (1) NO PORTION OF THE ASSETS USED BY SUCH HOLDER TO ACQUIRE OR HOLD THIS SECURITY CONSTITUTES THE ASSETS OF (A) AN EMPLOYEE BENEFIT PLAN THAT IS SUBJECT TO TITLE I OF THE U.S. EMPLOYEE RETIREMENT INCOME SECURITY ACT OF 1974, AS AMENDED (“ERISA”), (B) A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(C) AN ENTITY WHOSE UNDERLYING ASSETS ARE CONSIDERED TO INCLUDE “PLAN ASSETS” OF ANY SUCH PLAN, ACCOUNT OR ARRANGEMENT (EACH OF THE FOREGOING, A “PLAN”), OR (2) (A) THE ACQUISITION AND HOLDING OF THIS SECURITY WILL NOT CONSTITUTE OR RESULT IN A NON-EXEMPT PROHIBITED TRANSACTION UNDER SECTION 406 OF ERISA OR SECTION 4975 OF THE CODE OR A VIOLATION UNDER ANY APPLICABLE SIMILAR LAWS. AND (B) NONE OF THE ISSUER, THE INITIAL PURCHASERS, OR ANY OF THEIR RESPECTIVE AFFILIATES HAS ACTED AS THE PLAN’S FIDUCIARY, OR HAS BEEN RELIED UPON FOR ANY ADVICE, WITH RESPECT TO THE HOLDER’S DECISION TO ACQUIRE, HOLD, SELL, EXCHANGE, VOTE OR PROVIDE ANY CONSENT WITH RESPECT TO THIS SECURITY AND NONE OF THE ISSUER, THE INITIAL PURCHASERS, OR ANY OF THEIR RESPECTIVE AFFILIATES SHALL AT ANY TIME BE RELIED UPON AS THE PLAN’S FIDUCIARY WITH RESPECT TO ANY DECISION TO ACQUIRE, CONTINUE TO HOLD, SELL, EXCHANGE, VOTE OR PROVIDE ANY CONSENT WITH RESPECT TO THIS SECURITY.”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Definitive Note shall bear the following additional legend:</w:t>
      </w:r>
    </w:p>
    <w:p>
      <w:pPr>
        <w:spacing w:after="0" w:line="225" w:lineRule="exact"/>
        <w:rPr>
          <w:sz w:val="20"/>
          <w:szCs w:val="20"/>
          <w:color w:val="auto"/>
        </w:rPr>
      </w:pPr>
    </w:p>
    <w:p>
      <w:pPr>
        <w:jc w:val="both"/>
        <w:ind w:right="260" w:firstLine="1297"/>
        <w:spacing w:after="0" w:line="264" w:lineRule="auto"/>
        <w:rPr>
          <w:sz w:val="20"/>
          <w:szCs w:val="20"/>
          <w:color w:val="auto"/>
        </w:rPr>
      </w:pPr>
      <w:r>
        <w:rPr>
          <w:rFonts w:ascii="Arial" w:cs="Arial" w:eastAsia="Arial" w:hAnsi="Arial"/>
          <w:sz w:val="18"/>
          <w:szCs w:val="18"/>
          <w:color w:val="auto"/>
        </w:rPr>
        <w:t>“IN CONNECTION WITH ANY TRANSFER, THE HOLDER SHALL DELIVER TO THE REGISTRAR AND TRANSFER AGENT SUCH CERTIFICATES AND OTHER INFORMATION AS SUCH TRANSFER AGENT MAY REASONABLY REQUIRE TO CONFIRM THAT THE TRANSFER COMPLIES WITH THE FOREGOING RESTRICTIONS.”</w:t>
      </w:r>
    </w:p>
    <w:p>
      <w:pPr>
        <w:spacing w:after="0" w:line="181" w:lineRule="exact"/>
        <w:rPr>
          <w:sz w:val="20"/>
          <w:szCs w:val="20"/>
          <w:color w:val="auto"/>
        </w:rPr>
      </w:pPr>
    </w:p>
    <w:p>
      <w:pPr>
        <w:ind w:left="660" w:firstLine="645"/>
        <w:spacing w:after="0" w:line="288" w:lineRule="auto"/>
        <w:tabs>
          <w:tab w:leader="none" w:pos="1573" w:val="left"/>
        </w:tabs>
        <w:numPr>
          <w:ilvl w:val="0"/>
          <w:numId w:val="94"/>
        </w:numPr>
        <w:rPr>
          <w:rFonts w:ascii="Arial" w:cs="Arial" w:eastAsia="Arial" w:hAnsi="Arial"/>
          <w:sz w:val="16"/>
          <w:szCs w:val="16"/>
          <w:color w:val="auto"/>
        </w:rPr>
      </w:pPr>
      <w:r>
        <w:rPr>
          <w:rFonts w:ascii="Arial" w:cs="Arial" w:eastAsia="Arial" w:hAnsi="Arial"/>
          <w:sz w:val="16"/>
          <w:szCs w:val="16"/>
          <w:color w:val="auto"/>
        </w:rPr>
        <w:t>Upon any sale or transfer of a Transfer Restricted Note that is a Definitive Note, the Registrar shall permit the Holder thereof to exchange such Transfer Restricted Note for a Definitive Note that does not bear the legends set forth above and rescind any restriction on the transfer of such Transfer Restricted Note if the Holder certifies in writing to the Registrar that its request for such exchange was made in reliance on</w:t>
      </w:r>
    </w:p>
    <w:p>
      <w:pPr>
        <w:ind w:left="660"/>
        <w:spacing w:after="0"/>
        <w:rPr>
          <w:rFonts w:ascii="Arial" w:cs="Arial" w:eastAsia="Arial" w:hAnsi="Arial"/>
          <w:sz w:val="16"/>
          <w:szCs w:val="16"/>
          <w:color w:val="auto"/>
        </w:rPr>
      </w:pPr>
      <w:r>
        <w:rPr>
          <w:rFonts w:ascii="Arial" w:cs="Arial" w:eastAsia="Arial" w:hAnsi="Arial"/>
          <w:sz w:val="18"/>
          <w:szCs w:val="18"/>
          <w:color w:val="auto"/>
        </w:rPr>
        <w:t>Rule 144 (such certification to be in the form set forth on the reverse of the Initial Note).</w:t>
      </w:r>
    </w:p>
    <w:p>
      <w:pPr>
        <w:spacing w:after="0" w:line="210" w:lineRule="exact"/>
        <w:rPr>
          <w:rFonts w:ascii="Arial" w:cs="Arial" w:eastAsia="Arial" w:hAnsi="Arial"/>
          <w:sz w:val="16"/>
          <w:szCs w:val="16"/>
          <w:color w:val="auto"/>
        </w:rPr>
      </w:pPr>
    </w:p>
    <w:p>
      <w:pPr>
        <w:ind w:left="660" w:right="120" w:firstLine="645"/>
        <w:spacing w:after="0" w:line="264" w:lineRule="auto"/>
        <w:tabs>
          <w:tab w:leader="none" w:pos="1623" w:val="left"/>
        </w:tabs>
        <w:numPr>
          <w:ilvl w:val="0"/>
          <w:numId w:val="94"/>
        </w:numPr>
        <w:rPr>
          <w:rFonts w:ascii="Arial" w:cs="Arial" w:eastAsia="Arial" w:hAnsi="Arial"/>
          <w:sz w:val="18"/>
          <w:szCs w:val="18"/>
          <w:color w:val="auto"/>
        </w:rPr>
      </w:pPr>
      <w:r>
        <w:rPr>
          <w:rFonts w:ascii="Arial" w:cs="Arial" w:eastAsia="Arial" w:hAnsi="Arial"/>
          <w:sz w:val="18"/>
          <w:szCs w:val="18"/>
          <w:color w:val="auto"/>
        </w:rPr>
        <w:t>After a transfer of any Initial Notes during the period of the effectiveness of a Shelf Registration Statement with respect to such Initial Note, all requirements pertaining to the Restricted Securities Legend on such Initial Notes shall cease to apply and the requirements that any such Initial Notes be issued in global form shall continue to apply.</w:t>
      </w:r>
    </w:p>
    <w:p>
      <w:pPr>
        <w:spacing w:after="0" w:line="181" w:lineRule="exact"/>
        <w:rPr>
          <w:rFonts w:ascii="Arial" w:cs="Arial" w:eastAsia="Arial" w:hAnsi="Arial"/>
          <w:sz w:val="18"/>
          <w:szCs w:val="18"/>
          <w:color w:val="auto"/>
        </w:rPr>
      </w:pPr>
    </w:p>
    <w:p>
      <w:pPr>
        <w:ind w:left="660" w:right="40" w:firstLine="645"/>
        <w:spacing w:after="0" w:line="264" w:lineRule="auto"/>
        <w:tabs>
          <w:tab w:leader="none" w:pos="1613"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a sale or transfer after the expiration of the Restricted Period of any Initial Note acquired pursuant to Regulation S, all requirements that such Initial Note bear the Restricted Securities Legend shall cease to apply and the requirements requiring any such Initial Note be issued in global form shall continue to apply.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I-6</w:t>
      </w:r>
    </w:p>
    <w:p>
      <w:pPr>
        <w:sectPr>
          <w:pgSz w:w="11900" w:h="16838" w:orient="portrait"/>
          <w:cols w:equalWidth="0" w:num="1">
            <w:col w:w="11400"/>
          </w:cols>
          <w:pgMar w:left="240" w:top="368" w:right="259" w:bottom="1440" w:gutter="0" w:footer="0" w:header="0"/>
        </w:sectPr>
      </w:pPr>
    </w:p>
    <w:bookmarkStart w:id="70" w:name="page71"/>
    <w:bookmarkEnd w:id="70"/>
    <w:p>
      <w:pPr>
        <w:ind w:left="1280"/>
        <w:spacing w:after="0"/>
        <w:rPr>
          <w:sz w:val="20"/>
          <w:szCs w:val="20"/>
          <w:color w:val="auto"/>
        </w:rPr>
      </w:pPr>
      <w:r>
        <w:rPr>
          <w:rFonts w:ascii="Arial" w:cs="Arial" w:eastAsia="Arial" w:hAnsi="Arial"/>
          <w:sz w:val="18"/>
          <w:szCs w:val="18"/>
          <w:color w:val="auto"/>
        </w:rPr>
        <w:t>(v) Any Additional Notes sold in a registered offering shall not be required to bear the Restricted Securities Legend.</w:t>
      </w:r>
    </w:p>
    <w:p>
      <w:pPr>
        <w:spacing w:after="0" w:line="225" w:lineRule="exact"/>
        <w:rPr>
          <w:sz w:val="20"/>
          <w:szCs w:val="20"/>
          <w:color w:val="auto"/>
        </w:rPr>
      </w:pPr>
    </w:p>
    <w:p>
      <w:pPr>
        <w:ind w:left="-20" w:right="120" w:firstLine="1305"/>
        <w:spacing w:after="0" w:line="273" w:lineRule="auto"/>
        <w:tabs>
          <w:tab w:leader="none" w:pos="1501"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Cancellation or Adjustment of Global Note.</w:t>
      </w:r>
      <w:r>
        <w:rPr>
          <w:rFonts w:ascii="Arial" w:cs="Arial" w:eastAsia="Arial" w:hAnsi="Arial"/>
          <w:sz w:val="17"/>
          <w:szCs w:val="17"/>
          <w:color w:val="auto"/>
        </w:rPr>
        <w:t xml:space="preserve"> At such time as all beneficial interests in a Global Note have either been exchanged for Definitive Notes, transferred, redeemed, repurchased or cancelled, such Global Note shall be returned by the Depositary to the Trustee for cancellation or retained and cancelled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Trustee (if it is then the Securities Custodian for such Global Note) with respect to such Global Note, by the Trustee or the Securities Custodian, to reflect such reduction.</w:t>
      </w:r>
    </w:p>
    <w:p>
      <w:pPr>
        <w:spacing w:after="0" w:line="178" w:lineRule="exact"/>
        <w:rPr>
          <w:rFonts w:ascii="Arial" w:cs="Arial" w:eastAsia="Arial" w:hAnsi="Arial"/>
          <w:sz w:val="17"/>
          <w:szCs w:val="17"/>
          <w:color w:val="auto"/>
        </w:rPr>
      </w:pPr>
    </w:p>
    <w:p>
      <w:pPr>
        <w:ind w:left="1540" w:hanging="255"/>
        <w:spacing w:after="0"/>
        <w:tabs>
          <w:tab w:leader="none" w:pos="154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Obligations with Respect to Transfers and Exchanges of Notes</w:t>
      </w:r>
    </w:p>
    <w:p>
      <w:pPr>
        <w:spacing w:after="0" w:line="225" w:lineRule="exact"/>
        <w:rPr>
          <w:sz w:val="20"/>
          <w:szCs w:val="20"/>
          <w:color w:val="auto"/>
        </w:rPr>
      </w:pPr>
    </w:p>
    <w:p>
      <w:pPr>
        <w:ind w:left="640" w:right="180" w:firstLine="645"/>
        <w:spacing w:after="0" w:line="277" w:lineRule="auto"/>
        <w:tabs>
          <w:tab w:leader="none" w:pos="150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shall execute upon receipt of a written request from the Company and the Trustee shall authenticate, Definitive Notes and Global Notes at the Registrar’s request.</w:t>
      </w:r>
    </w:p>
    <w:p>
      <w:pPr>
        <w:spacing w:after="0" w:line="170" w:lineRule="exact"/>
        <w:rPr>
          <w:rFonts w:ascii="Arial" w:cs="Arial" w:eastAsia="Arial" w:hAnsi="Arial"/>
          <w:sz w:val="18"/>
          <w:szCs w:val="18"/>
          <w:color w:val="auto"/>
        </w:rPr>
      </w:pPr>
    </w:p>
    <w:p>
      <w:pPr>
        <w:ind w:left="640" w:right="100" w:firstLine="645"/>
        <w:spacing w:after="0" w:line="277" w:lineRule="auto"/>
        <w:tabs>
          <w:tab w:leader="none" w:pos="1553"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service charge shall be made for any registration of transfer or exchange, but the Company may require payment of a sum sufficient to cover any transfer tax, assessments, or similar governmental charge payable in connection therewith.</w:t>
      </w:r>
    </w:p>
    <w:p>
      <w:pPr>
        <w:spacing w:after="0" w:line="170" w:lineRule="exact"/>
        <w:rPr>
          <w:rFonts w:ascii="Arial" w:cs="Arial" w:eastAsia="Arial" w:hAnsi="Arial"/>
          <w:sz w:val="18"/>
          <w:szCs w:val="18"/>
          <w:color w:val="auto"/>
        </w:rPr>
      </w:pPr>
    </w:p>
    <w:p>
      <w:pPr>
        <w:jc w:val="both"/>
        <w:ind w:left="640" w:right="40" w:firstLine="645"/>
        <w:spacing w:after="0" w:line="279" w:lineRule="auto"/>
        <w:tabs>
          <w:tab w:leader="none" w:pos="1603" w:val="left"/>
        </w:tabs>
        <w:numPr>
          <w:ilvl w:val="0"/>
          <w:numId w:val="96"/>
        </w:numPr>
        <w:rPr>
          <w:rFonts w:ascii="Arial" w:cs="Arial" w:eastAsia="Arial" w:hAnsi="Arial"/>
          <w:sz w:val="17"/>
          <w:szCs w:val="17"/>
          <w:color w:val="auto"/>
        </w:rPr>
      </w:pPr>
      <w:r>
        <w:rPr>
          <w:rFonts w:ascii="Arial" w:cs="Arial" w:eastAsia="Arial" w:hAnsi="Arial"/>
          <w:sz w:val="17"/>
          <w:szCs w:val="17"/>
          <w:color w:val="auto"/>
        </w:rPr>
        <w:t>Prior to the due presentation for registration of transfer of any Note, the Company, the Trustee, the Paying Agent or the Registrar may deem and treat the person in whose name a Note is registered as the absolute owner of such Note for the purpose of receiving payment of principal of, premium, if any, and interest on such Note and for all other purposes whatsoever, whether or not such Note is overdue, and none of the Company, the Trustee, the Paying Agent or the Registrar shall be affected by notice to the contrary.</w:t>
      </w:r>
    </w:p>
    <w:p>
      <w:pPr>
        <w:spacing w:after="0" w:line="171" w:lineRule="exact"/>
        <w:rPr>
          <w:rFonts w:ascii="Arial" w:cs="Arial" w:eastAsia="Arial" w:hAnsi="Arial"/>
          <w:sz w:val="17"/>
          <w:szCs w:val="17"/>
          <w:color w:val="auto"/>
        </w:rPr>
      </w:pPr>
    </w:p>
    <w:p>
      <w:pPr>
        <w:ind w:left="640" w:firstLine="645"/>
        <w:spacing w:after="0" w:line="277" w:lineRule="auto"/>
        <w:tabs>
          <w:tab w:leader="none" w:pos="15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170" w:lineRule="exact"/>
        <w:rPr>
          <w:sz w:val="20"/>
          <w:szCs w:val="20"/>
          <w:color w:val="auto"/>
        </w:rPr>
      </w:pPr>
    </w:p>
    <w:p>
      <w:pPr>
        <w:ind w:left="1540" w:hanging="255"/>
        <w:spacing w:after="0"/>
        <w:tabs>
          <w:tab w:leader="none" w:pos="154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No Obligation of the Trustee</w:t>
      </w:r>
    </w:p>
    <w:p>
      <w:pPr>
        <w:spacing w:after="0" w:line="225" w:lineRule="exact"/>
        <w:rPr>
          <w:rFonts w:ascii="Arial" w:cs="Arial" w:eastAsia="Arial" w:hAnsi="Arial"/>
          <w:sz w:val="18"/>
          <w:szCs w:val="18"/>
          <w:color w:val="auto"/>
        </w:rPr>
      </w:pPr>
    </w:p>
    <w:p>
      <w:pPr>
        <w:ind w:left="640" w:right="20" w:firstLine="645"/>
        <w:spacing w:after="0" w:line="253" w:lineRule="auto"/>
        <w:tabs>
          <w:tab w:leader="none" w:pos="150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shall have no responsibility or obligation to any beneficial owner of a Global Note,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Depositary or its nominee in the case of a Global Note). The rights of beneficial 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197" w:lineRule="exact"/>
        <w:rPr>
          <w:sz w:val="20"/>
          <w:szCs w:val="20"/>
          <w:color w:val="auto"/>
        </w:rPr>
      </w:pPr>
    </w:p>
    <w:p>
      <w:pPr>
        <w:ind w:left="640" w:right="60" w:firstLine="645"/>
        <w:spacing w:after="0" w:line="259" w:lineRule="auto"/>
        <w:tabs>
          <w:tab w:leader="none" w:pos="15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members or beneficial owners in any Global Note) other than to require delivery of such certificates, opinions and other documentation or evidence as are expressly required by, and to do so if and when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I-7</w:t>
      </w:r>
    </w:p>
    <w:p>
      <w:pPr>
        <w:sectPr>
          <w:pgSz w:w="11900" w:h="16838" w:orient="portrait"/>
          <w:cols w:equalWidth="0" w:num="1">
            <w:col w:w="11400"/>
          </w:cols>
          <w:pgMar w:left="260" w:top="368" w:right="239" w:bottom="1440" w:gutter="0" w:footer="0" w:header="0"/>
        </w:sectPr>
      </w:pPr>
    </w:p>
    <w:bookmarkStart w:id="71" w:name="page72"/>
    <w:bookmarkEnd w:id="71"/>
    <w:p>
      <w:pPr>
        <w:ind w:left="640" w:right="720"/>
        <w:spacing w:after="0" w:line="277" w:lineRule="auto"/>
        <w:rPr>
          <w:sz w:val="20"/>
          <w:szCs w:val="20"/>
          <w:color w:val="auto"/>
        </w:rPr>
      </w:pPr>
      <w:r>
        <w:rPr>
          <w:rFonts w:ascii="Arial" w:cs="Arial" w:eastAsia="Arial" w:hAnsi="Arial"/>
          <w:sz w:val="18"/>
          <w:szCs w:val="18"/>
          <w:color w:val="auto"/>
        </w:rPr>
        <w:t>expressly required by, the terms of this Indenture, and to examine the same to determine substantial compliance as to form with the express requirements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Definitive Notes.</w:t>
      </w:r>
    </w:p>
    <w:p>
      <w:pPr>
        <w:spacing w:after="0" w:line="225" w:lineRule="exact"/>
        <w:rPr>
          <w:sz w:val="20"/>
          <w:szCs w:val="20"/>
          <w:color w:val="auto"/>
        </w:rPr>
      </w:pPr>
    </w:p>
    <w:p>
      <w:pPr>
        <w:ind w:left="-20" w:firstLine="1305"/>
        <w:spacing w:after="0" w:line="255" w:lineRule="auto"/>
        <w:tabs>
          <w:tab w:leader="none" w:pos="1521"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Global Note deposited with the Depositary or with the Trustee as Securities Custodian pursuant to Section 2.1 shall be transferred to the beneficial owners thereof in the form of Definitive Notes in an aggregate principal amount equal to the principal amount of such Global Note, in exchange for such Global Note, only if such transfer complies with Section 2.3 and (i) the Depositary notifies the Company that it is unwilling or unable to continue as a Depositary for such Global Note or if at any time the Depositary ceases to be a “clearing agency” registered under the Exchange Act, and, in either case, a successor depositary is not appointed by the Company within 120 days of such notice or after the Company becomes aware of such event, or (ii) an Event of Default has occurred and is continuing or (iii) the Company, in its sole discretion, notifies the Trustee in writing that it elects to cause the issuance of certificated Notes under this Indenture.</w:t>
      </w:r>
    </w:p>
    <w:p>
      <w:pPr>
        <w:spacing w:after="0" w:line="189" w:lineRule="exact"/>
        <w:rPr>
          <w:rFonts w:ascii="Arial" w:cs="Arial" w:eastAsia="Arial" w:hAnsi="Arial"/>
          <w:sz w:val="18"/>
          <w:szCs w:val="18"/>
          <w:color w:val="auto"/>
        </w:rPr>
      </w:pPr>
    </w:p>
    <w:p>
      <w:pPr>
        <w:ind w:left="-20" w:right="60" w:firstLine="1305"/>
        <w:spacing w:after="0" w:line="293" w:lineRule="auto"/>
        <w:tabs>
          <w:tab w:leader="none" w:pos="1531"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Global Note that is transferable to the beneficial owners thereof pursuant to this Section 2.4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2.4 shall be executed, authenticated and delivered only in denominations of $2,000 and whole multiples of $1,000 thereof and registered in such names as the Depositary shall direct. Any certificated Initial Note in the form of a Definitive Note delivered in exchange for an interest in the Global Note shall, except as otherwise provided by Section 2.3(e), bear the Restricted Securities Legend.</w:t>
      </w:r>
    </w:p>
    <w:p>
      <w:pPr>
        <w:spacing w:after="0" w:line="164" w:lineRule="exact"/>
        <w:rPr>
          <w:rFonts w:ascii="Arial" w:cs="Arial" w:eastAsia="Arial" w:hAnsi="Arial"/>
          <w:sz w:val="16"/>
          <w:szCs w:val="16"/>
          <w:color w:val="auto"/>
        </w:rPr>
      </w:pPr>
    </w:p>
    <w:p>
      <w:pPr>
        <w:ind w:left="-20" w:right="260" w:firstLine="1305"/>
        <w:spacing w:after="0" w:line="264" w:lineRule="auto"/>
        <w:tabs>
          <w:tab w:leader="none" w:pos="1521"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Subject to the provisions of Section 2.4(b), the registered Holder of a Global Note may grant proxies and otherwise authorize any Person, including Agent Members and Persons that may hold interests through Agent Members, to take any action which a Holder is entitled to take under this Indenture or the Notes.</w:t>
      </w:r>
    </w:p>
    <w:p>
      <w:pPr>
        <w:spacing w:after="0" w:line="181" w:lineRule="exact"/>
        <w:rPr>
          <w:rFonts w:ascii="Arial" w:cs="Arial" w:eastAsia="Arial" w:hAnsi="Arial"/>
          <w:sz w:val="18"/>
          <w:szCs w:val="18"/>
          <w:color w:val="auto"/>
        </w:rPr>
      </w:pPr>
    </w:p>
    <w:p>
      <w:pPr>
        <w:ind w:left="-20" w:right="40" w:firstLine="1305"/>
        <w:spacing w:after="0" w:line="277" w:lineRule="auto"/>
        <w:tabs>
          <w:tab w:leader="none" w:pos="1531"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event of the occurrence of any of the events specified in Section 2.4(a)(i), (ii) or (iii), the Company shall promptly make available to the Trustee a reasonable supply of Definitive Notes in fully registered form without interest coupons.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I-8</w:t>
      </w:r>
    </w:p>
    <w:p>
      <w:pPr>
        <w:sectPr>
          <w:pgSz w:w="11900" w:h="16838" w:orient="portrait"/>
          <w:cols w:equalWidth="0" w:num="1">
            <w:col w:w="11380"/>
          </w:cols>
          <w:pgMar w:left="260" w:top="368" w:right="259" w:bottom="1440" w:gutter="0" w:footer="0" w:header="0"/>
        </w:sectPr>
      </w:pPr>
    </w:p>
    <w:bookmarkStart w:id="72" w:name="page73"/>
    <w:bookmarkEnd w:id="72"/>
    <w:p>
      <w:pPr>
        <w:spacing w:after="0" w:line="4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[Global Notes Legend]</w:t>
      </w:r>
    </w:p>
    <w:p>
      <w:pPr>
        <w:spacing w:after="0" w:line="216"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[THIS NOTE IS A GLOBAL NOTE WITHIN THE MEANING OF THE INDENTURE HEREINAFTER REFERRED TO AND IS REGISTERED IN THE NAME OF A DEPOSITORY OR A NOMINEE OF A DEPOSITORY. THIS NOTE IS EXCHANGEABLE FOR NOTES REGISTERED IN THE NAME OF A PERSON OTHER THAN THE DEPOSITORY OR ITS NOMINEE ONLY IN THE LIMITED CIRCUMSTANCES DESCRIBED IN THE INDENTURE, AND NO TRANSFER OF THIS NOTE (OTHER THAN A TRANSFER OF THIS NOTE AS A WHOLE BY THE DEPOSITORY TO A NOMINEE OF THE DEPOSITORY OR BY A NOMINEE OF THE DEPOSITORY TO THE DEPOSITORY OR ANOTHER NOMINEE OF THE DEPOSITORY) MAY BE REGISTERED EXCEPT IN LIMITED CIRCUMSTANCES.</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UNLESS THIS NOTE IS PRESENTED BY AN AUTHORIZED REPRESENTATIVE OF THE DEPOSITORY TRUST COMPANY, A NEW YORK CORPORATION (“DTC”), TO THE COMPANY OR ITS AGENT FOR REGISTRATION OF TRANSFER, EXCHANGE OR PAYMENT, AND ANY NOTE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[Restricted Securities Legend]</w:t>
      </w:r>
    </w:p>
    <w:p>
      <w:pPr>
        <w:spacing w:after="0" w:line="216" w:lineRule="exact"/>
        <w:rPr>
          <w:sz w:val="20"/>
          <w:szCs w:val="20"/>
          <w:color w:val="auto"/>
        </w:rPr>
      </w:pPr>
    </w:p>
    <w:p>
      <w:pPr>
        <w:ind w:right="60" w:firstLine="1297"/>
        <w:spacing w:after="0" w:line="270" w:lineRule="auto"/>
        <w:rPr>
          <w:sz w:val="20"/>
          <w:szCs w:val="20"/>
          <w:color w:val="auto"/>
        </w:rPr>
      </w:pPr>
      <w:r>
        <w:rPr>
          <w:rFonts w:ascii="Arial" w:cs="Arial" w:eastAsia="Arial" w:hAnsi="Arial"/>
          <w:sz w:val="18"/>
          <w:szCs w:val="18"/>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[IN THE CASE OF RULE 144A NOTES: SIX MONTHS AFTER THE LATER OF THE ORIGINAL ISSUE DATE HEREOF, THE ORIGINAL ISSUE DATE OF THE ISSUANCE OF ANY ADDITIONAL NOTES AND THE LAST DATE ON WHICH THE ISSUER OR ANY AFFILIATE OF THE ISSUER WAS THE OWNER OF THIS SECURITY (OR ANY PREDECESSOR OF SUCH SECURITY),] [IN THE CASE OF REGULATION S NOTES: 40 DAYS AFTER THE LATER OF THE ORIGINAL ISSUE DATE HEREOF, THE ORIGINAL ISSUE DATE OF THE ISSUANCE OF ANY ADDITIONAL NOTES AND</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420"/>
          </w:cols>
          <w:pgMar w:left="240" w:top="1440" w:right="239" w:bottom="1440" w:gutter="0" w:footer="0" w:header="0"/>
        </w:sectPr>
      </w:pPr>
    </w:p>
    <w:bookmarkStart w:id="73" w:name="page74"/>
    <w:bookmarkEnd w:id="73"/>
    <w:p>
      <w:pPr>
        <w:spacing w:after="0" w:line="254" w:lineRule="auto"/>
        <w:rPr>
          <w:sz w:val="20"/>
          <w:szCs w:val="20"/>
          <w:color w:val="auto"/>
        </w:rPr>
      </w:pPr>
      <w:r>
        <w:rPr>
          <w:rFonts w:ascii="Arial" w:cs="Arial" w:eastAsia="Arial" w:hAnsi="Arial"/>
          <w:sz w:val="19"/>
          <w:szCs w:val="19"/>
          <w:color w:val="auto"/>
        </w:rPr>
        <w:t>THE DATE ON WHICH THIS SECURITY (OR ANY PREDECESSOR OF SUCH SECURITY) WAS FIRST OFFERED TO PERSONS OTHER THAN DISTRIBUTORS (AS DEFINED IN RULE 902 OF REGULATION S) IN RELIANCE ON REGULATION S], ONLY (A) TO THE COMPANY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$250,000 OF SECURITIES OR (F) PURSUANT TO ANOTHER AVAILABLE EXEMPTION FROM THE REGISTRATION REQUIREMENTS OF THE SECURITIES ACT, SUBJECT TO THE COMPANY’S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 [IN THE CASE OF REGULATION S NOTES: 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83"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BY ITS ACQUISITION OF THIS SECURITY, THE HOLDER THEREOF WILL BE DEEMED TO HAVE REPRESENTED AND WARRANTED THAT EITHER (1) NO PORTION OF THE ASSETS USED BY SUCH HOLDER TO ACQUIRE OR HOLD THIS SECURITY CONSTITUTES THE ASSETS OF (A) AN EMPLOYEE BENEFIT PLAN THAT IS SUBJECT TO TITLE I OF THE U.S. EMPLOYEE RETIREMENT INCOME SECURITY ACT OF 1974, AS AMENDED (“ERISA”), (B) A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w:t>
      </w:r>
    </w:p>
    <w:p>
      <w:pPr>
        <w:spacing w:after="0" w:line="4" w:lineRule="exact"/>
        <w:rPr>
          <w:sz w:val="20"/>
          <w:szCs w:val="20"/>
          <w:color w:val="auto"/>
        </w:rPr>
      </w:pPr>
    </w:p>
    <w:p>
      <w:pPr>
        <w:ind w:right="60" w:firstLine="8"/>
        <w:spacing w:after="0"/>
        <w:tabs>
          <w:tab w:leader="none" w:pos="313"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 ENTITY WHOSE UNDERLYING ASSETS ARE CONSIDERED TO INCLUDE “PLAN ASSETS” OF ANY SUCH PLAN, ACCOUNT OR ARRANGEMENT (EACH OF THE FOREGOING, A “PLAN”), OR (2) (A) THE ACQUISITION AND HOLDING OF THIS SECURITY WILL NOT CONSTITUTE OR RESULT IN A NON-EXEMPT PROHIBITED TRANSACTION UNDER SECTION 406 OF ERISA OR SECTION 4975 OF THE CODE OR A VIOLATION UNDER ANY APPLICABLE SIMILAR LAWS. AND (B) NONE OF THE ISSUER, THE INITIAL PURCHASERS, OR ANY OF THEIR RESPECTIVE AFFILIATES HAS ACTED AS THE PLAN’S FIDUCIARY, OR HAS BEEN RELIED UPON FOR ANY ADVICE, WITH RESPECT TO THE HOLDER’S DECISION TO ACQUIRE, HOLD, SELL, EXCHANGE, VOTE OR PROVIDE ANY CONSENT WITH RESPECT TO THIS SECURITY AND NONE OF THE ISSUER, THE INITIAL PURCHASERS, OR ANY OF THEIR RESPECTIVE AFFILIATES SHALL AT ANY TIME BE RELIED UPON AS THE PLAN’S FIDUCIARY WITH RESPECT TO ANY DECISION TO</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420"/>
          </w:cols>
          <w:pgMar w:left="240" w:top="595" w:right="239" w:bottom="1440" w:gutter="0" w:footer="0" w:header="0"/>
        </w:sectPr>
      </w:pPr>
    </w:p>
    <w:bookmarkStart w:id="74" w:name="page75"/>
    <w:bookmarkEnd w:id="74"/>
    <w:p>
      <w:pPr>
        <w:spacing w:after="0"/>
        <w:rPr>
          <w:sz w:val="20"/>
          <w:szCs w:val="20"/>
          <w:color w:val="auto"/>
        </w:rPr>
      </w:pPr>
      <w:r>
        <w:rPr>
          <w:rFonts w:ascii="Arial" w:cs="Arial" w:eastAsia="Arial" w:hAnsi="Arial"/>
          <w:sz w:val="19"/>
          <w:szCs w:val="19"/>
          <w:color w:val="auto"/>
        </w:rPr>
        <w:t>ACQUIRE, CONTINUE TO HOLD, SELL, EXCHANGE, VOTE OR PROVIDE ANY CONSENT WITH RESPECT TO THIS SECURITY.]</w:t>
      </w:r>
    </w:p>
    <w:p>
      <w:pPr>
        <w:sectPr>
          <w:pgSz w:w="11900" w:h="16838" w:orient="portrait"/>
          <w:cols w:equalWidth="0" w:num="1">
            <w:col w:w="11340"/>
          </w:cols>
          <w:pgMar w:left="240" w:top="595" w:right="3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A-3</w:t>
      </w:r>
    </w:p>
    <w:p>
      <w:pPr>
        <w:sectPr>
          <w:pgSz w:w="11900" w:h="16838" w:orient="portrait"/>
          <w:cols w:equalWidth="0" w:num="1">
            <w:col w:w="11340"/>
          </w:cols>
          <w:pgMar w:left="240" w:top="595" w:right="31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20"/>
          <w:szCs w:val="20"/>
          <w:color w:val="auto"/>
        </w:rPr>
        <w:t>CUSIP/ISIN 144A: 159864AE7 / US159864AE78 Reg S: U14144AB2 / USU14144AB24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60" w:type="dxa"/>
            <w:vAlign w:val="bottom"/>
          </w:tcPr>
          <w:p>
            <w:pPr>
              <w:jc w:val="center"/>
              <w:ind w:left="661"/>
              <w:spacing w:after="0"/>
              <w:rPr>
                <w:sz w:val="20"/>
                <w:szCs w:val="20"/>
                <w:color w:val="auto"/>
              </w:rPr>
            </w:pPr>
            <w:r>
              <w:rPr>
                <w:rFonts w:ascii="Arial" w:cs="Arial" w:eastAsia="Arial" w:hAnsi="Arial"/>
                <w:sz w:val="20"/>
                <w:szCs w:val="20"/>
                <w:color w:val="auto"/>
                <w:w w:val="88"/>
              </w:rPr>
              <w:t>4.250% Senior Notes due 2028</w:t>
            </w:r>
          </w:p>
        </w:tc>
      </w:tr>
      <w:tr>
        <w:trPr>
          <w:trHeight w:val="527"/>
        </w:trPr>
        <w:tc>
          <w:tcPr>
            <w:tcW w:w="2200" w:type="dxa"/>
            <w:vAlign w:val="bottom"/>
            <w:gridSpan w:val="2"/>
          </w:tcPr>
          <w:p>
            <w:pPr>
              <w:spacing w:after="0"/>
              <w:rPr>
                <w:sz w:val="20"/>
                <w:szCs w:val="20"/>
                <w:color w:val="auto"/>
              </w:rPr>
            </w:pPr>
            <w:r>
              <w:rPr>
                <w:rFonts w:ascii="Arial" w:cs="Arial" w:eastAsia="Arial" w:hAnsi="Arial"/>
                <w:sz w:val="20"/>
                <w:szCs w:val="20"/>
                <w:color w:val="auto"/>
                <w:w w:val="93"/>
              </w:rPr>
              <w:t>No. ___  $____________</w:t>
            </w:r>
            <w:r>
              <w:rPr>
                <w:rFonts w:ascii="Arial" w:cs="Arial" w:eastAsia="Arial" w:hAnsi="Arial"/>
                <w:sz w:val="25"/>
                <w:szCs w:val="25"/>
                <w:color w:val="auto"/>
                <w:w w:val="93"/>
                <w:vertAlign w:val="superscript"/>
              </w:rPr>
              <w:t>*</w:t>
            </w:r>
          </w:p>
        </w:tc>
        <w:tc>
          <w:tcPr>
            <w:tcW w:w="6260" w:type="dxa"/>
            <w:vAlign w:val="bottom"/>
          </w:tcPr>
          <w:p>
            <w:pPr>
              <w:spacing w:after="0"/>
              <w:rPr>
                <w:sz w:val="24"/>
                <w:szCs w:val="24"/>
                <w:color w:val="auto"/>
              </w:rPr>
            </w:pPr>
          </w:p>
        </w:tc>
      </w:tr>
      <w:tr>
        <w:trPr>
          <w:trHeight w:val="365"/>
        </w:trPr>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60" w:type="dxa"/>
            <w:vAlign w:val="bottom"/>
          </w:tcPr>
          <w:p>
            <w:pPr>
              <w:jc w:val="center"/>
              <w:ind w:left="661"/>
              <w:spacing w:after="0"/>
              <w:rPr>
                <w:sz w:val="20"/>
                <w:szCs w:val="20"/>
                <w:color w:val="auto"/>
              </w:rPr>
            </w:pPr>
            <w:r>
              <w:rPr>
                <w:rFonts w:ascii="Arial" w:cs="Arial" w:eastAsia="Arial" w:hAnsi="Arial"/>
                <w:sz w:val="20"/>
                <w:szCs w:val="20"/>
                <w:b w:val="1"/>
                <w:bCs w:val="1"/>
                <w:color w:val="auto"/>
              </w:rPr>
              <w:t>CHARLES RIVER LABORATORIES INTERNATIONAL, INC.</w:t>
            </w:r>
          </w:p>
        </w:tc>
      </w:tr>
      <w:tr>
        <w:trPr>
          <w:trHeight w:val="401"/>
        </w:trPr>
        <w:tc>
          <w:tcPr>
            <w:tcW w:w="1520" w:type="dxa"/>
            <w:vAlign w:val="bottom"/>
          </w:tcPr>
          <w:p>
            <w:pPr>
              <w:spacing w:after="0"/>
              <w:rPr>
                <w:sz w:val="20"/>
                <w:szCs w:val="20"/>
                <w:color w:val="auto"/>
              </w:rPr>
            </w:pPr>
            <w:r>
              <w:rPr>
                <w:rFonts w:ascii="Arial" w:cs="Arial" w:eastAsia="Arial" w:hAnsi="Arial"/>
                <w:sz w:val="20"/>
                <w:szCs w:val="20"/>
                <w:color w:val="auto"/>
                <w:w w:val="91"/>
              </w:rPr>
              <w:t>promises to pay to</w:t>
            </w:r>
          </w:p>
        </w:tc>
        <w:tc>
          <w:tcPr>
            <w:tcW w:w="680" w:type="dxa"/>
            <w:vAlign w:val="bottom"/>
            <w:tcBorders>
              <w:bottom w:val="single" w:sz="8" w:color="auto"/>
            </w:tcBorders>
          </w:tcPr>
          <w:p>
            <w:pPr>
              <w:spacing w:after="0"/>
              <w:rPr>
                <w:sz w:val="24"/>
                <w:szCs w:val="24"/>
                <w:color w:val="auto"/>
              </w:rPr>
            </w:pPr>
          </w:p>
        </w:tc>
        <w:tc>
          <w:tcPr>
            <w:tcW w:w="6260" w:type="dxa"/>
            <w:vAlign w:val="bottom"/>
          </w:tcPr>
          <w:p>
            <w:pPr>
              <w:ind w:left="60"/>
              <w:spacing w:after="0"/>
              <w:rPr>
                <w:sz w:val="20"/>
                <w:szCs w:val="20"/>
                <w:color w:val="auto"/>
              </w:rPr>
            </w:pPr>
            <w:r>
              <w:rPr>
                <w:rFonts w:ascii="Arial" w:cs="Arial" w:eastAsia="Arial" w:hAnsi="Arial"/>
                <w:sz w:val="20"/>
                <w:szCs w:val="20"/>
                <w:color w:val="auto"/>
              </w:rPr>
              <w:t>or registered assigns,</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sum of __________________________________________________________ DOLLARS [(or such lesser principal amount as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shall be reflected in the books and records of the Trustee and Depository)] on May 1, 2028.</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Interest Payment Dates: May 1 and November 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Regular Record Dates: April 15 and October 15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Dated: _______________, 2019</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WITNESS WHEREOF, CHARLES RIVER LABORATORIES INTERNATIONAL, INC. has caused this instrument to be signed manually or by facsimile by two of its duly authorized Officers.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 2019</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CHARLES RIVER LABORATORIES INTERNATIONAL, INC.</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ind w:left="4220"/>
        <w:spacing w:after="0" w:line="236" w:lineRule="auto"/>
        <w:rPr>
          <w:sz w:val="20"/>
          <w:szCs w:val="20"/>
          <w:color w:val="auto"/>
        </w:rPr>
      </w:pPr>
      <w:r>
        <w:rPr>
          <w:rFonts w:ascii="Arial" w:cs="Arial" w:eastAsia="Arial" w:hAnsi="Arial"/>
          <w:sz w:val="22"/>
          <w:szCs w:val="22"/>
          <w:color w:val="auto"/>
        </w:rPr>
        <w:t>Title:</w:t>
      </w:r>
    </w:p>
    <w:p>
      <w:pPr>
        <w:spacing w:after="0"/>
        <w:rPr>
          <w:sz w:val="20"/>
          <w:szCs w:val="20"/>
          <w:color w:val="auto"/>
        </w:rPr>
      </w:pPr>
      <w:r>
        <w:rPr>
          <w:rFonts w:ascii="Arial" w:cs="Arial" w:eastAsia="Arial" w:hAnsi="Arial"/>
          <w:sz w:val="20"/>
          <w:szCs w:val="20"/>
          <w:color w:val="auto"/>
        </w:rPr>
        <w:t>This is one of the Notes referred to</w:t>
      </w:r>
    </w:p>
    <w:p>
      <w:pPr>
        <w:spacing w:after="0"/>
        <w:rPr>
          <w:sz w:val="20"/>
          <w:szCs w:val="20"/>
          <w:color w:val="auto"/>
        </w:rPr>
      </w:pPr>
      <w:r>
        <w:rPr>
          <w:rFonts w:ascii="Arial" w:cs="Arial" w:eastAsia="Arial" w:hAnsi="Arial"/>
          <w:sz w:val="20"/>
          <w:szCs w:val="20"/>
          <w:color w:val="auto"/>
        </w:rPr>
        <w:t>in the within-mentioned Indenture:</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MUFG UNION BANK,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Trustee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51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Authorized Signatory</w:t>
      </w: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340"/>
          </w:cols>
          <w:pgMar w:left="240" w:top="595" w:right="319" w:bottom="1440" w:gutter="0" w:footer="0" w:header="0"/>
        </w:sectPr>
      </w:pPr>
    </w:p>
    <w:bookmarkStart w:id="76" w:name="page77"/>
    <w:bookmarkEnd w:id="76"/>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445135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t>A-5</w:t>
      </w:r>
    </w:p>
    <w:p>
      <w:pPr>
        <w:sectPr>
          <w:pgSz w:w="11900" w:h="16838" w:orient="portrait"/>
          <w:cols w:equalWidth="0" w:num="1">
            <w:col w:w="9019"/>
          </w:cols>
          <w:pgMar w:left="1440" w:top="1311" w:right="1440"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20"/>
          <w:szCs w:val="20"/>
          <w:b w:val="1"/>
          <w:bCs w:val="1"/>
          <w:color w:val="auto"/>
        </w:rPr>
        <w:t>[Back of Note]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4.250% Senior Notes due 2028</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Capitalized terms used herein have the meanings assigned to them in the Indenture referred to below unless otherwise indicated.</w:t>
      </w:r>
    </w:p>
    <w:p>
      <w:pPr>
        <w:spacing w:after="0" w:line="227" w:lineRule="exact"/>
        <w:rPr>
          <w:sz w:val="20"/>
          <w:szCs w:val="20"/>
          <w:color w:val="auto"/>
        </w:rPr>
      </w:pPr>
    </w:p>
    <w:p>
      <w:pPr>
        <w:ind w:left="1720" w:hanging="415"/>
        <w:spacing w:after="0"/>
        <w:tabs>
          <w:tab w:leader="none" w:pos="172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Charles River Laboratories International,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promises to pay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cause to be paid interest on the principal amount of this Note at 4.250% per annum from October 23, 2019 until, but excluding, maturity. The</w:t>
      </w:r>
    </w:p>
    <w:p>
      <w:pPr>
        <w:spacing w:after="0" w:line="25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Company will pay interest, if any, semi-annually in arrears on and of each year, or if any such day is not a Business Day, on the next succeeding Business Day (each, an “</w:t>
      </w:r>
      <w:r>
        <w:rPr>
          <w:rFonts w:ascii="Arial" w:cs="Arial" w:eastAsia="Arial" w:hAnsi="Arial"/>
          <w:sz w:val="18"/>
          <w:szCs w:val="18"/>
          <w:i w:val="1"/>
          <w:iCs w:val="1"/>
          <w:color w:val="auto"/>
        </w:rPr>
        <w:t>Interest Payment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first Interest Payment Date will be , 2020. Interest on the</w:t>
      </w:r>
    </w:p>
    <w:p>
      <w:pPr>
        <w:spacing w:after="0" w:line="1"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 xml:space="preserve">Notes will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this Note is authenticated between a record date referred to on the face hereof and the next succeeding Interest Payment Date, interest</w:t>
      </w: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20"/>
                <w:szCs w:val="20"/>
                <w:color w:val="auto"/>
                <w:w w:val="91"/>
              </w:rPr>
              <w:t xml:space="preserve">shall accrue from such next succeeding Interest Payment Date; </w:t>
            </w:r>
            <w:r>
              <w:rPr>
                <w:rFonts w:ascii="Arial" w:cs="Arial" w:eastAsia="Arial" w:hAnsi="Arial"/>
                <w:sz w:val="20"/>
                <w:szCs w:val="20"/>
                <w:i w:val="1"/>
                <w:iCs w:val="1"/>
                <w:color w:val="auto"/>
                <w:w w:val="91"/>
              </w:rPr>
              <w:t>provided further</w:t>
            </w:r>
            <w:r>
              <w:rPr>
                <w:rFonts w:ascii="Arial" w:cs="Arial" w:eastAsia="Arial" w:hAnsi="Arial"/>
                <w:sz w:val="20"/>
                <w:szCs w:val="20"/>
                <w:color w:val="auto"/>
                <w:w w:val="91"/>
              </w:rPr>
              <w:t xml:space="preserve"> that the first Interest Payment Date shall be</w:t>
            </w:r>
          </w:p>
        </w:tc>
        <w:tc>
          <w:tcPr>
            <w:tcW w:w="1120" w:type="dxa"/>
            <w:vAlign w:val="bottom"/>
          </w:tcPr>
          <w:p>
            <w:pPr>
              <w:ind w:left="220"/>
              <w:spacing w:after="0"/>
              <w:rPr>
                <w:sz w:val="20"/>
                <w:szCs w:val="20"/>
                <w:color w:val="auto"/>
              </w:rPr>
            </w:pPr>
            <w:r>
              <w:rPr>
                <w:rFonts w:ascii="Arial" w:cs="Arial" w:eastAsia="Arial" w:hAnsi="Arial"/>
                <w:sz w:val="20"/>
                <w:szCs w:val="20"/>
                <w:color w:val="auto"/>
                <w:w w:val="86"/>
              </w:rPr>
              <w:t>, 2020. The</w:t>
            </w:r>
          </w:p>
        </w:tc>
      </w:tr>
    </w:tbl>
    <w:p>
      <w:pPr>
        <w:ind w:right="40"/>
        <w:spacing w:after="0" w:line="282" w:lineRule="auto"/>
        <w:rPr>
          <w:sz w:val="20"/>
          <w:szCs w:val="20"/>
          <w:color w:val="auto"/>
        </w:rPr>
      </w:pPr>
      <w:r>
        <w:rPr>
          <w:rFonts w:ascii="Arial" w:cs="Arial" w:eastAsia="Arial" w:hAnsi="Arial"/>
          <w:sz w:val="18"/>
          <w:szCs w:val="18"/>
          <w:color w:val="auto"/>
        </w:rPr>
        <w:t>Company will pay interest (including post-petition interest in any proceeding under any Bankruptcy Law) on overdue principal at the otherwise applicable interest rate on the Notes to the extent lawful; it will pay interest (including post-petition interest in any proceeding under any Bankruptcy Law) on overdue installments of interest (without regard to any applicable grace period), at the same rate to the extent lawful.</w:t>
      </w:r>
    </w:p>
    <w:p>
      <w:pPr>
        <w:spacing w:after="0" w:line="159" w:lineRule="exact"/>
        <w:rPr>
          <w:sz w:val="20"/>
          <w:szCs w:val="20"/>
          <w:color w:val="auto"/>
        </w:rPr>
      </w:pPr>
    </w:p>
    <w:p>
      <w:pPr>
        <w:ind w:left="660" w:right="20" w:firstLine="648"/>
        <w:spacing w:after="0" w:line="342" w:lineRule="auto"/>
        <w:rPr>
          <w:sz w:val="20"/>
          <w:szCs w:val="20"/>
          <w:color w:val="auto"/>
        </w:rPr>
      </w:pPr>
      <w:r>
        <w:rPr>
          <w:rFonts w:ascii="Arial" w:cs="Arial" w:eastAsia="Arial" w:hAnsi="Arial"/>
          <w:sz w:val="16"/>
          <w:szCs w:val="16"/>
          <w:color w:val="auto"/>
        </w:rPr>
        <w:t>Interest will be computed on the basis of a 360-day year comprised of twelve 30-day months. If any interest payment date, the maturity date, any redemption date, or any earlier required repurchase date of a note falls on a day that is not a business day, the required payment will be made on the next succeeding business day and no interest on such payment will accrue in respect of the delay.</w:t>
      </w:r>
    </w:p>
    <w:p>
      <w:pPr>
        <w:spacing w:after="0" w:line="118" w:lineRule="exact"/>
        <w:rPr>
          <w:sz w:val="20"/>
          <w:szCs w:val="20"/>
          <w:color w:val="auto"/>
        </w:rPr>
      </w:pPr>
    </w:p>
    <w:p>
      <w:pPr>
        <w:jc w:val="both"/>
        <w:ind w:left="660" w:firstLine="645"/>
        <w:spacing w:after="0" w:line="272" w:lineRule="auto"/>
        <w:tabs>
          <w:tab w:leader="none" w:pos="1732"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 The Company will pay interest on the Notes (except defaulted interest) to the Persons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Holders of Notes at 5:00 p.m., New York City time, on the April 15 or October 15 next preceding the Interest Payment Date, even if such Notes are canceled after such record date and on or before such Interest Payment Date, except as provided in Section 2.12 of the Original Indenture with respect to defaulted interest. The Company shall pay the principal of and interest on any Global Note in immediately available funds to the Depository or its nominee, as the case may be, as the registered Holder of such Global Note. The Company, through the Paying Agent, shall make all payments of principal, premium, if any, and interest, with respect to Physical Notes by wire transfer of immediately available funds to the accounts specified by the Holders of the Physical Notes or, if no such account is specified, by mailing a check to each such Holder’s registered address. Such payment will be in such coin or currency of the United States of America as at the time of payment is legal tender for payment of public and private debts.</w:t>
      </w:r>
    </w:p>
    <w:p>
      <w:pPr>
        <w:spacing w:after="0" w:line="171" w:lineRule="exact"/>
        <w:rPr>
          <w:rFonts w:ascii="Arial" w:cs="Arial" w:eastAsia="Arial" w:hAnsi="Arial"/>
          <w:sz w:val="18"/>
          <w:szCs w:val="18"/>
          <w:color w:val="auto"/>
        </w:rPr>
      </w:pPr>
    </w:p>
    <w:p>
      <w:pPr>
        <w:jc w:val="both"/>
        <w:ind w:left="660" w:firstLine="645"/>
        <w:spacing w:after="0" w:line="250" w:lineRule="auto"/>
        <w:tabs>
          <w:tab w:leader="none" w:pos="1814" w:val="left"/>
        </w:tabs>
        <w:numPr>
          <w:ilvl w:val="0"/>
          <w:numId w:val="102"/>
        </w:numPr>
        <w:rPr>
          <w:rFonts w:ascii="Arial" w:cs="Arial" w:eastAsia="Arial" w:hAnsi="Arial"/>
          <w:sz w:val="20"/>
          <w:szCs w:val="20"/>
          <w:color w:val="auto"/>
        </w:rPr>
      </w:pPr>
      <w:r>
        <w:rPr>
          <w:rFonts w:ascii="Arial" w:cs="Arial" w:eastAsia="Arial" w:hAnsi="Arial"/>
          <w:sz w:val="20"/>
          <w:szCs w:val="20"/>
          <w:i w:val="1"/>
          <w:iCs w:val="1"/>
          <w:color w:val="auto"/>
        </w:rPr>
        <w:t>PAYING AGENT AND REGISTRAR</w:t>
      </w:r>
      <w:r>
        <w:rPr>
          <w:rFonts w:ascii="Arial" w:cs="Arial" w:eastAsia="Arial" w:hAnsi="Arial"/>
          <w:sz w:val="20"/>
          <w:szCs w:val="20"/>
          <w:color w:val="auto"/>
        </w:rPr>
        <w:t>. Initially, MUFG Union Bank, N.A., the Trustee under the Indenture, will act as</w:t>
      </w:r>
      <w:r>
        <w:rPr>
          <w:rFonts w:ascii="Arial" w:cs="Arial" w:eastAsia="Arial" w:hAnsi="Arial"/>
          <w:sz w:val="20"/>
          <w:szCs w:val="20"/>
          <w:i w:val="1"/>
          <w:iCs w:val="1"/>
          <w:color w:val="auto"/>
        </w:rPr>
        <w:t xml:space="preserve"> </w:t>
      </w:r>
      <w:r>
        <w:rPr>
          <w:rFonts w:ascii="Arial" w:cs="Arial" w:eastAsia="Arial" w:hAnsi="Arial"/>
          <w:sz w:val="20"/>
          <w:szCs w:val="20"/>
          <w:color w:val="auto"/>
        </w:rPr>
        <w:t>Paying Agent and Registrar. The Company may change the Paying Agent or Registrar without prior notice to the Holders of the Notes. The Company or any of its Subsidiaries may act as Paying Agent or Registrar.</w:t>
      </w:r>
    </w:p>
    <w:p>
      <w:pPr>
        <w:spacing w:after="0" w:line="186" w:lineRule="exact"/>
        <w:rPr>
          <w:rFonts w:ascii="Arial" w:cs="Arial" w:eastAsia="Arial" w:hAnsi="Arial"/>
          <w:sz w:val="20"/>
          <w:szCs w:val="20"/>
          <w:color w:val="auto"/>
        </w:rPr>
      </w:pPr>
    </w:p>
    <w:p>
      <w:pPr>
        <w:ind w:left="660" w:firstLine="645"/>
        <w:spacing w:after="0" w:line="260" w:lineRule="auto"/>
        <w:tabs>
          <w:tab w:leader="none" w:pos="1732" w:val="left"/>
        </w:tabs>
        <w:numPr>
          <w:ilvl w:val="0"/>
          <w:numId w:val="102"/>
        </w:numPr>
        <w:rPr>
          <w:rFonts w:ascii="Arial" w:cs="Arial" w:eastAsia="Arial" w:hAnsi="Arial"/>
          <w:sz w:val="20"/>
          <w:szCs w:val="20"/>
          <w:color w:val="auto"/>
        </w:rPr>
      </w:pPr>
      <w:r>
        <w:rPr>
          <w:rFonts w:ascii="Arial" w:cs="Arial" w:eastAsia="Arial" w:hAnsi="Arial"/>
          <w:sz w:val="20"/>
          <w:szCs w:val="20"/>
          <w:i w:val="1"/>
          <w:iCs w:val="1"/>
          <w:color w:val="auto"/>
        </w:rPr>
        <w:t>INDENTURE</w:t>
      </w:r>
      <w:r>
        <w:rPr>
          <w:rFonts w:ascii="Arial" w:cs="Arial" w:eastAsia="Arial" w:hAnsi="Arial"/>
          <w:sz w:val="20"/>
          <w:szCs w:val="20"/>
          <w:color w:val="auto"/>
        </w:rPr>
        <w:t>. The Company issued the Notes under a base indenture dated April 3, 2018, between the Company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Trustee (the “</w:t>
      </w:r>
      <w:r>
        <w:rPr>
          <w:rFonts w:ascii="Arial" w:cs="Arial" w:eastAsia="Arial" w:hAnsi="Arial"/>
          <w:sz w:val="20"/>
          <w:szCs w:val="20"/>
          <w:i w:val="1"/>
          <w:iCs w:val="1"/>
          <w:color w:val="auto"/>
        </w:rPr>
        <w:t>Original Indenture</w:t>
      </w:r>
      <w:r>
        <w:rPr>
          <w:rFonts w:ascii="Arial" w:cs="Arial" w:eastAsia="Arial" w:hAnsi="Arial"/>
          <w:sz w:val="20"/>
          <w:szCs w:val="20"/>
          <w:color w:val="auto"/>
        </w:rPr>
        <w:t>”), as supplemented by the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420"/>
          </w:cols>
          <w:pgMar w:left="240" w:top="819" w:right="239" w:bottom="1440" w:gutter="0" w:footer="0" w:header="0"/>
        </w:sectPr>
      </w:pPr>
    </w:p>
    <w:bookmarkStart w:id="78" w:name="page79"/>
    <w:bookmarkEnd w:id="78"/>
    <w:p>
      <w:pPr>
        <w:jc w:val="both"/>
        <w:spacing w:after="0" w:line="243" w:lineRule="auto"/>
        <w:rPr>
          <w:sz w:val="20"/>
          <w:szCs w:val="20"/>
          <w:color w:val="auto"/>
        </w:rPr>
      </w:pPr>
      <w:r>
        <w:rPr>
          <w:rFonts w:ascii="Arial" w:cs="Arial" w:eastAsia="Arial" w:hAnsi="Arial"/>
          <w:sz w:val="20"/>
          <w:szCs w:val="20"/>
          <w:color w:val="auto"/>
        </w:rPr>
        <w:t>Second Supplemental Indenture dated as of October 23, 2019 (the “</w:t>
      </w:r>
      <w:r>
        <w:rPr>
          <w:rFonts w:ascii="Arial" w:cs="Arial" w:eastAsia="Arial" w:hAnsi="Arial"/>
          <w:sz w:val="20"/>
          <w:szCs w:val="20"/>
          <w:i w:val="1"/>
          <w:iCs w:val="1"/>
          <w:color w:val="auto"/>
        </w:rPr>
        <w:t>Second Supplemental Indenture,</w:t>
      </w:r>
      <w:r>
        <w:rPr>
          <w:rFonts w:ascii="Arial" w:cs="Arial" w:eastAsia="Arial" w:hAnsi="Arial"/>
          <w:sz w:val="20"/>
          <w:szCs w:val="20"/>
          <w:color w:val="auto"/>
        </w:rPr>
        <w:t>” together with the Original Indenture, the “</w:t>
      </w:r>
      <w:r>
        <w:rPr>
          <w:rFonts w:ascii="Arial" w:cs="Arial" w:eastAsia="Arial" w:hAnsi="Arial"/>
          <w:sz w:val="20"/>
          <w:szCs w:val="20"/>
          <w:i w:val="1"/>
          <w:iCs w:val="1"/>
          <w:color w:val="auto"/>
        </w:rPr>
        <w:t>Indenture</w:t>
      </w:r>
      <w:r>
        <w:rPr>
          <w:rFonts w:ascii="Arial" w:cs="Arial" w:eastAsia="Arial" w:hAnsi="Arial"/>
          <w:sz w:val="20"/>
          <w:szCs w:val="20"/>
          <w:color w:val="auto"/>
        </w:rPr>
        <w:t>”) among the Company,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197" w:lineRule="exact"/>
        <w:rPr>
          <w:sz w:val="20"/>
          <w:szCs w:val="20"/>
          <w:color w:val="auto"/>
        </w:rPr>
      </w:pPr>
    </w:p>
    <w:p>
      <w:pPr>
        <w:ind w:left="1060" w:hanging="415"/>
        <w:spacing w:after="0"/>
        <w:tabs>
          <w:tab w:leader="none" w:pos="1060" w:val="left"/>
        </w:tabs>
        <w:numPr>
          <w:ilvl w:val="0"/>
          <w:numId w:val="103"/>
        </w:numPr>
        <w:rPr>
          <w:rFonts w:ascii="Arial" w:cs="Arial" w:eastAsia="Arial" w:hAnsi="Arial"/>
          <w:sz w:val="20"/>
          <w:szCs w:val="20"/>
          <w:color w:val="auto"/>
        </w:rPr>
      </w:pPr>
      <w:r>
        <w:rPr>
          <w:rFonts w:ascii="Arial" w:cs="Arial" w:eastAsia="Arial" w:hAnsi="Arial"/>
          <w:sz w:val="20"/>
          <w:szCs w:val="20"/>
          <w:i w:val="1"/>
          <w:iCs w:val="1"/>
          <w:color w:val="auto"/>
        </w:rPr>
        <w:t>OPTIONAL REDEMPTION.</w:t>
      </w:r>
    </w:p>
    <w:p>
      <w:pPr>
        <w:spacing w:after="0" w:line="215" w:lineRule="exact"/>
        <w:rPr>
          <w:rFonts w:ascii="Arial" w:cs="Arial" w:eastAsia="Arial" w:hAnsi="Arial"/>
          <w:sz w:val="20"/>
          <w:szCs w:val="20"/>
          <w:color w:val="auto"/>
        </w:rPr>
      </w:pPr>
    </w:p>
    <w:p>
      <w:pPr>
        <w:jc w:val="both"/>
        <w:ind w:firstLine="1293"/>
        <w:spacing w:after="0" w:line="321" w:lineRule="auto"/>
        <w:tabs>
          <w:tab w:leader="none" w:pos="195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At any time prior to May 1, 2023, the Company may on any one or more occasions redeem up to 40% of the aggregate principal amount of Notes issued under the Supplemental Indenture (including any Additional Notes), upon not less than 15 nor more than 60 days’ notice, at a redemption price equal to 104.25% of the principal amount of the Notes redeemed, plus accrued and unpaid interest, to, but not including, the date of redemption (subject to the rights of Holders of Notes on the relevant record date to receive interest on the relevant interest payment date), with the net cash proceeds of an Equity Offering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34" w:lineRule="exact"/>
        <w:rPr>
          <w:sz w:val="20"/>
          <w:szCs w:val="20"/>
          <w:color w:val="auto"/>
        </w:rPr>
      </w:pPr>
    </w:p>
    <w:p>
      <w:pPr>
        <w:jc w:val="both"/>
        <w:ind w:left="640" w:firstLine="653"/>
        <w:spacing w:after="0" w:line="250" w:lineRule="auto"/>
        <w:tabs>
          <w:tab w:leader="none" w:pos="1837"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at least 60% of the aggregate principal amount of Notes originally issued under the Supplemental Indenture (excluding Notes held by the Company and its Subsidiaries) remains outstanding immediately after the occurrence of such redemption; and</w:t>
      </w:r>
    </w:p>
    <w:p>
      <w:pPr>
        <w:spacing w:after="0" w:line="186" w:lineRule="exact"/>
        <w:rPr>
          <w:rFonts w:ascii="Arial" w:cs="Arial" w:eastAsia="Arial" w:hAnsi="Arial"/>
          <w:sz w:val="20"/>
          <w:szCs w:val="20"/>
          <w:color w:val="auto"/>
        </w:rPr>
      </w:pPr>
    </w:p>
    <w:p>
      <w:pPr>
        <w:ind w:left="1740" w:hanging="447"/>
        <w:spacing w:after="0"/>
        <w:tabs>
          <w:tab w:leader="none" w:pos="174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redemption occurs within 180 days of the date of the closing of such Equity Offering.</w:t>
      </w:r>
    </w:p>
    <w:p>
      <w:pPr>
        <w:spacing w:after="0" w:line="216" w:lineRule="exact"/>
        <w:rPr>
          <w:sz w:val="20"/>
          <w:szCs w:val="20"/>
          <w:color w:val="auto"/>
        </w:rPr>
      </w:pPr>
    </w:p>
    <w:p>
      <w:pPr>
        <w:jc w:val="both"/>
        <w:ind w:firstLine="1293"/>
        <w:spacing w:after="0" w:line="282" w:lineRule="auto"/>
        <w:tabs>
          <w:tab w:leader="none" w:pos="193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any time prior to May 1, 2023, the Company may on any one or more occasions redeem all or a part of the Notes, upon not less than 15 nor more than 60 days’ notice, at a redemption price equal to 100% of the principal amount of the Notes redeemed, plus the Applicable Premium as of, and accrued and unpaid interest, to, but not including, the date of redemption, subject to the rights of Holders of Notes on the relevant record date to receive interest due on the relevant interest payment date.</w:t>
      </w:r>
    </w:p>
    <w:p>
      <w:pPr>
        <w:spacing w:after="0" w:line="161" w:lineRule="exact"/>
        <w:rPr>
          <w:rFonts w:ascii="Arial" w:cs="Arial" w:eastAsia="Arial" w:hAnsi="Arial"/>
          <w:sz w:val="18"/>
          <w:szCs w:val="18"/>
          <w:color w:val="auto"/>
        </w:rPr>
      </w:pPr>
    </w:p>
    <w:p>
      <w:pPr>
        <w:ind w:left="1900" w:hanging="607"/>
        <w:spacing w:after="0"/>
        <w:tabs>
          <w:tab w:leader="none" w:pos="1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Except pursuant to the preceding paragraphs, the Notes will not be redeemable at the Company’s option prior to</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May 1, 2023.</w:t>
      </w:r>
    </w:p>
    <w:p>
      <w:pPr>
        <w:spacing w:after="0" w:line="199" w:lineRule="exact"/>
        <w:rPr>
          <w:rFonts w:ascii="Arial" w:cs="Arial" w:eastAsia="Arial" w:hAnsi="Arial"/>
          <w:sz w:val="16"/>
          <w:szCs w:val="16"/>
          <w:color w:val="auto"/>
        </w:rPr>
      </w:pPr>
    </w:p>
    <w:p>
      <w:pPr>
        <w:jc w:val="both"/>
        <w:ind w:firstLine="1293"/>
        <w:spacing w:after="0" w:line="260" w:lineRule="auto"/>
        <w:tabs>
          <w:tab w:leader="none" w:pos="198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On or after May 1, 2023, the Company may on any one or more occasions redeem all or a part of the Notes, upon not less than 15 nor more than 60 days’ notice, at the redemption prices (expressed as percentages of principal amount) set forth below, plus accrued and unpaid interest, on the Notes redeemed, to, but not including, the applicable date of redemption, if redeemed during the twelve-month period beginning on May 1 of the years indicated below, subject to the rights of Holders of Notes on the relevant record date to receive interest on the relevant interest payment date:</w:t>
      </w: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0760"/>
          </w:cols>
          <w:pgMar w:left="900" w:top="595" w:right="239" w:bottom="1440" w:gutter="0" w:footer="0" w:header="0"/>
        </w:sectPr>
      </w:pPr>
    </w:p>
    <w:bookmarkStart w:id="79" w:name="page80"/>
    <w:bookmarkEnd w:id="79"/>
    <w:tbl>
      <w:tblPr>
        <w:tblLayout w:type="fixed"/>
        <w:tblInd w:w="40" w:type="dxa"/>
        <w:tblCellMar>
          <w:top w:w="0" w:type="dxa"/>
          <w:left w:w="0" w:type="dxa"/>
          <w:bottom w:w="0" w:type="dxa"/>
          <w:right w:w="0" w:type="dxa"/>
        </w:tblCellMar>
      </w:tblPr>
      <w:tr>
        <w:trPr>
          <w:trHeight w:val="230"/>
        </w:trPr>
        <w:tc>
          <w:tcPr>
            <w:tcW w:w="7700" w:type="dxa"/>
            <w:vAlign w:val="bottom"/>
            <w:gridSpan w:val="2"/>
          </w:tcPr>
          <w:p>
            <w:pPr>
              <w:spacing w:after="0"/>
              <w:rPr>
                <w:sz w:val="20"/>
                <w:szCs w:val="20"/>
                <w:color w:val="auto"/>
              </w:rPr>
            </w:pPr>
            <w:r>
              <w:rPr>
                <w:rFonts w:ascii="Arial" w:cs="Arial" w:eastAsia="Arial" w:hAnsi="Arial"/>
                <w:sz w:val="20"/>
                <w:szCs w:val="20"/>
                <w:color w:val="auto"/>
              </w:rPr>
              <w:t>Year</w:t>
            </w:r>
          </w:p>
        </w:tc>
        <w:tc>
          <w:tcPr>
            <w:tcW w:w="1520" w:type="dxa"/>
            <w:vAlign w:val="bottom"/>
            <w:gridSpan w:val="2"/>
          </w:tcPr>
          <w:p>
            <w:pPr>
              <w:jc w:val="right"/>
              <w:ind w:right="660"/>
              <w:spacing w:after="0"/>
              <w:rPr>
                <w:sz w:val="20"/>
                <w:szCs w:val="20"/>
                <w:color w:val="auto"/>
              </w:rPr>
            </w:pPr>
            <w:r>
              <w:rPr>
                <w:rFonts w:ascii="Arial" w:cs="Arial" w:eastAsia="Arial" w:hAnsi="Arial"/>
                <w:sz w:val="20"/>
                <w:szCs w:val="20"/>
                <w:color w:val="auto"/>
                <w:w w:val="82"/>
              </w:rPr>
              <w:t>Percentage</w:t>
            </w:r>
          </w:p>
        </w:tc>
      </w:tr>
      <w:tr>
        <w:trPr>
          <w:trHeight w:val="20"/>
        </w:trPr>
        <w:tc>
          <w:tcPr>
            <w:tcW w:w="36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8"/>
        </w:trPr>
        <w:tc>
          <w:tcPr>
            <w:tcW w:w="7700" w:type="dxa"/>
            <w:vAlign w:val="bottom"/>
            <w:gridSpan w:val="2"/>
          </w:tcPr>
          <w:p>
            <w:pPr>
              <w:spacing w:after="0"/>
              <w:rPr>
                <w:sz w:val="20"/>
                <w:szCs w:val="20"/>
                <w:color w:val="auto"/>
              </w:rPr>
            </w:pPr>
            <w:r>
              <w:rPr>
                <w:rFonts w:ascii="Arial" w:cs="Arial" w:eastAsia="Arial" w:hAnsi="Arial"/>
                <w:sz w:val="20"/>
                <w:szCs w:val="20"/>
                <w:color w:val="auto"/>
              </w:rPr>
              <w:t>2023</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102.125%</w:t>
            </w:r>
          </w:p>
        </w:tc>
      </w:tr>
      <w:tr>
        <w:trPr>
          <w:trHeight w:val="284"/>
        </w:trPr>
        <w:tc>
          <w:tcPr>
            <w:tcW w:w="7700" w:type="dxa"/>
            <w:vAlign w:val="bottom"/>
            <w:gridSpan w:val="2"/>
          </w:tcPr>
          <w:p>
            <w:pPr>
              <w:spacing w:after="0"/>
              <w:rPr>
                <w:sz w:val="20"/>
                <w:szCs w:val="20"/>
                <w:color w:val="auto"/>
              </w:rPr>
            </w:pPr>
            <w:r>
              <w:rPr>
                <w:rFonts w:ascii="Arial" w:cs="Arial" w:eastAsia="Arial" w:hAnsi="Arial"/>
                <w:sz w:val="20"/>
                <w:szCs w:val="20"/>
                <w:color w:val="auto"/>
              </w:rPr>
              <w:t>2024</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101.417%</w:t>
            </w:r>
          </w:p>
        </w:tc>
      </w:tr>
      <w:tr>
        <w:trPr>
          <w:trHeight w:val="284"/>
        </w:trPr>
        <w:tc>
          <w:tcPr>
            <w:tcW w:w="7700" w:type="dxa"/>
            <w:vAlign w:val="bottom"/>
            <w:gridSpan w:val="2"/>
          </w:tcPr>
          <w:p>
            <w:pPr>
              <w:spacing w:after="0"/>
              <w:rPr>
                <w:sz w:val="20"/>
                <w:szCs w:val="20"/>
                <w:color w:val="auto"/>
              </w:rPr>
            </w:pPr>
            <w:r>
              <w:rPr>
                <w:rFonts w:ascii="Arial" w:cs="Arial" w:eastAsia="Arial" w:hAnsi="Arial"/>
                <w:sz w:val="20"/>
                <w:szCs w:val="20"/>
                <w:color w:val="auto"/>
              </w:rPr>
              <w:t>2025</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100.708%</w:t>
            </w:r>
          </w:p>
        </w:tc>
      </w:tr>
      <w:tr>
        <w:trPr>
          <w:trHeight w:val="284"/>
        </w:trPr>
        <w:tc>
          <w:tcPr>
            <w:tcW w:w="7700" w:type="dxa"/>
            <w:vAlign w:val="bottom"/>
            <w:gridSpan w:val="2"/>
          </w:tcPr>
          <w:p>
            <w:pPr>
              <w:spacing w:after="0"/>
              <w:rPr>
                <w:sz w:val="20"/>
                <w:szCs w:val="20"/>
                <w:color w:val="auto"/>
              </w:rPr>
            </w:pPr>
            <w:r>
              <w:rPr>
                <w:rFonts w:ascii="Arial" w:cs="Arial" w:eastAsia="Arial" w:hAnsi="Arial"/>
                <w:sz w:val="20"/>
                <w:szCs w:val="20"/>
                <w:color w:val="auto"/>
              </w:rPr>
              <w:t>2026 and thereafter</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100.000%</w:t>
            </w:r>
          </w:p>
        </w:tc>
      </w:tr>
    </w:tbl>
    <w:p>
      <w:pPr>
        <w:spacing w:after="0" w:line="236"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Unless the Company defaults in the payment of the redemption price, interest will cease to accrue on the Notes or portions thereof called for redemption on the applicable redemption date.</w:t>
      </w:r>
    </w:p>
    <w:p>
      <w:pPr>
        <w:spacing w:after="0" w:line="177" w:lineRule="exact"/>
        <w:rPr>
          <w:sz w:val="20"/>
          <w:szCs w:val="20"/>
          <w:color w:val="auto"/>
        </w:rPr>
      </w:pPr>
    </w:p>
    <w:p>
      <w:pPr>
        <w:ind w:right="40" w:firstLine="645"/>
        <w:spacing w:after="0" w:line="250" w:lineRule="auto"/>
        <w:tabs>
          <w:tab w:leader="none" w:pos="1059" w:val="left"/>
        </w:tabs>
        <w:numPr>
          <w:ilvl w:val="0"/>
          <w:numId w:val="106"/>
        </w:numPr>
        <w:rPr>
          <w:rFonts w:ascii="Arial" w:cs="Arial" w:eastAsia="Arial" w:hAnsi="Arial"/>
          <w:sz w:val="20"/>
          <w:szCs w:val="20"/>
          <w:color w:val="auto"/>
        </w:rPr>
      </w:pPr>
      <w:r>
        <w:rPr>
          <w:rFonts w:ascii="Arial" w:cs="Arial" w:eastAsia="Arial" w:hAnsi="Arial"/>
          <w:sz w:val="20"/>
          <w:szCs w:val="20"/>
          <w:i w:val="1"/>
          <w:iCs w:val="1"/>
          <w:color w:val="auto"/>
        </w:rPr>
        <w:t>MANDATORY REDEMPTION; OPEN MARKET PURCHASES</w:t>
      </w:r>
      <w:r>
        <w:rPr>
          <w:rFonts w:ascii="Arial" w:cs="Arial" w:eastAsia="Arial" w:hAnsi="Arial"/>
          <w:sz w:val="20"/>
          <w:szCs w:val="20"/>
          <w:color w:val="auto"/>
        </w:rPr>
        <w:t>. The Company is not required to make mandatory</w:t>
      </w:r>
      <w:r>
        <w:rPr>
          <w:rFonts w:ascii="Arial" w:cs="Arial" w:eastAsia="Arial" w:hAnsi="Arial"/>
          <w:sz w:val="20"/>
          <w:szCs w:val="20"/>
          <w:i w:val="1"/>
          <w:iCs w:val="1"/>
          <w:color w:val="auto"/>
        </w:rPr>
        <w:t xml:space="preserve"> </w:t>
      </w:r>
      <w:r>
        <w:rPr>
          <w:rFonts w:ascii="Arial" w:cs="Arial" w:eastAsia="Arial" w:hAnsi="Arial"/>
          <w:sz w:val="20"/>
          <w:szCs w:val="20"/>
          <w:color w:val="auto"/>
        </w:rPr>
        <w:t>redemption or sinking fund payments with respect to the Notes. The Company may at any time and from time to time acquire Notes by tender offer, open market purchases, negotiated transactions or otherwise.</w:t>
      </w:r>
    </w:p>
    <w:p>
      <w:pPr>
        <w:spacing w:after="0" w:line="186" w:lineRule="exact"/>
        <w:rPr>
          <w:rFonts w:ascii="Arial" w:cs="Arial" w:eastAsia="Arial" w:hAnsi="Arial"/>
          <w:sz w:val="20"/>
          <w:szCs w:val="20"/>
          <w:color w:val="auto"/>
        </w:rPr>
      </w:pPr>
    </w:p>
    <w:p>
      <w:pPr>
        <w:ind w:firstLine="645"/>
        <w:spacing w:after="0" w:line="269" w:lineRule="auto"/>
        <w:tabs>
          <w:tab w:leader="none" w:pos="1059"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If a Change of Control occurs and is accompanied by a Ratings Event (together, a “</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each Holder of Notes will have the right to require the Company to repurchase all or any part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$2,000 or an integral multiple of $1,000 in excess thereof) of that Holder’s Notes pursuant to an offer by the Company (a “</w:t>
      </w:r>
      <w:r>
        <w:rPr>
          <w:rFonts w:ascii="Arial" w:cs="Arial" w:eastAsia="Arial" w:hAnsi="Arial"/>
          <w:sz w:val="18"/>
          <w:szCs w:val="18"/>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Offer</w:t>
      </w:r>
      <w:r>
        <w:rPr>
          <w:rFonts w:ascii="Arial" w:cs="Arial" w:eastAsia="Arial" w:hAnsi="Arial"/>
          <w:sz w:val="18"/>
          <w:szCs w:val="18"/>
          <w:color w:val="auto"/>
        </w:rPr>
        <w:t>”) on the terms set forth in the Indenture. In the Change of Control Offer, the Company will offer a payment in cash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101% of the aggregate principal amount of Notes repurchased, plus accrued and unpaid interest, on the Notes repurchased to, but not including, the date of purchase (the “</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subject to the rights of Holders of Notes on the relevant record date to receive interest due on the relevant interest payment date. Within thirty days following any Change of Control Triggering Event, the Company will deliver electronically in pdf format or mail a notice to each Holder with a copy to the Trustee or otherwise in accordance with the procedures of the Depositary describing the transaction or transactions that constitute the Change of Control Triggering Event and offering to repurchase Notes on the date specified in the notice, which date will be no earlier than 30 days and no later than 60 days from the date such notice is mailed or otherwise delivered (a “</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pursuant to the procedures required by the Indenture and described in such notice. The Company will comply with the requirements of Rule 14e-1 under the Exchange Act and any other securities laws and regulations thereunder to the extent those laws and regulations are applicable in connection with the repurchase of the Notes as a result of a Change of Control Offer. To the extent that the provisions of any securities laws or regulations conflict with the Change of Control Offer provisions of the Indenture, the Company will comply with the applicable securities laws and regulations and will not be deemed to have breached its obligations under the Change of Control Offer provisions of the Indenture by virtue of such compliance.</w:t>
      </w:r>
    </w:p>
    <w:p>
      <w:pPr>
        <w:spacing w:after="0" w:line="175" w:lineRule="exact"/>
        <w:rPr>
          <w:rFonts w:ascii="Arial" w:cs="Arial" w:eastAsia="Arial" w:hAnsi="Arial"/>
          <w:sz w:val="18"/>
          <w:szCs w:val="18"/>
          <w:color w:val="auto"/>
        </w:rPr>
      </w:pPr>
    </w:p>
    <w:p>
      <w:pPr>
        <w:ind w:right="40" w:firstLine="645"/>
        <w:spacing w:after="0" w:line="258" w:lineRule="auto"/>
        <w:tabs>
          <w:tab w:leader="none" w:pos="1059" w:val="left"/>
        </w:tabs>
        <w:numPr>
          <w:ilvl w:val="0"/>
          <w:numId w:val="106"/>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At least 15 days but not more than 60 days before a redemption date, the Company will</w:t>
      </w:r>
      <w:r>
        <w:rPr>
          <w:rFonts w:ascii="Arial" w:cs="Arial" w:eastAsia="Arial" w:hAnsi="Arial"/>
          <w:sz w:val="19"/>
          <w:szCs w:val="19"/>
          <w:i w:val="1"/>
          <w:iCs w:val="1"/>
          <w:color w:val="auto"/>
        </w:rPr>
        <w:t xml:space="preserve"> </w:t>
      </w:r>
      <w:r>
        <w:rPr>
          <w:rFonts w:ascii="Arial" w:cs="Arial" w:eastAsia="Arial" w:hAnsi="Arial"/>
          <w:sz w:val="19"/>
          <w:szCs w:val="19"/>
          <w:color w:val="auto"/>
        </w:rPr>
        <w:t>deliver electronically in pdf format or mail or cause to be mailed, by first 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the Indenture pursuant to Articles 7 or 8 of the Second Supplemental Indenture. Notes and portions of Notes selected will be in amounts of $2,000 or whole multiples of $1,000 in excess thereof; except that if all of the Notes of a Holder are to be redeemed or purchased, the entire outstanding amount of Notes held by such Holder shall be redeemed or purchased.</w:t>
      </w:r>
    </w:p>
    <w:p>
      <w:pPr>
        <w:spacing w:after="0" w:line="200" w:lineRule="exact"/>
        <w:rPr>
          <w:sz w:val="20"/>
          <w:szCs w:val="20"/>
          <w:color w:val="auto"/>
        </w:rPr>
      </w:pPr>
    </w:p>
    <w:p>
      <w:pPr>
        <w:spacing w:after="0" w:line="222"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0740"/>
          </w:cols>
          <w:pgMar w:left="900" w:top="733" w:right="259" w:bottom="1440" w:gutter="0" w:footer="0" w:header="0"/>
        </w:sectPr>
      </w:pPr>
    </w:p>
    <w:bookmarkStart w:id="80" w:name="page81"/>
    <w:bookmarkEnd w:id="80"/>
    <w:p>
      <w:pPr>
        <w:ind w:left="-540" w:firstLine="645"/>
        <w:spacing w:after="0" w:line="257" w:lineRule="auto"/>
        <w:tabs>
          <w:tab w:leader="none" w:pos="519" w:val="left"/>
        </w:tabs>
        <w:numPr>
          <w:ilvl w:val="0"/>
          <w:numId w:val="107"/>
        </w:numPr>
        <w:rPr>
          <w:rFonts w:ascii="Arial" w:cs="Arial" w:eastAsia="Arial" w:hAnsi="Arial"/>
          <w:sz w:val="19"/>
          <w:szCs w:val="19"/>
          <w:color w:val="auto"/>
        </w:rPr>
      </w:pPr>
      <w:r>
        <w:rPr>
          <w:rFonts w:ascii="Arial" w:cs="Arial" w:eastAsia="Arial" w:hAnsi="Arial"/>
          <w:sz w:val="19"/>
          <w:szCs w:val="19"/>
          <w:i w:val="1"/>
          <w:iCs w:val="1"/>
          <w:color w:val="auto"/>
        </w:rPr>
        <w:t>DENOMINATIONS, TRANSFER, EXCHANGE</w:t>
      </w:r>
      <w:r>
        <w:rPr>
          <w:rFonts w:ascii="Arial" w:cs="Arial" w:eastAsia="Arial" w:hAnsi="Arial"/>
          <w:sz w:val="19"/>
          <w:szCs w:val="19"/>
          <w:color w:val="auto"/>
        </w:rPr>
        <w:t>. The Notes are in registered form in denominations of $2,000 and integral</w:t>
      </w:r>
      <w:r>
        <w:rPr>
          <w:rFonts w:ascii="Arial" w:cs="Arial" w:eastAsia="Arial" w:hAnsi="Arial"/>
          <w:sz w:val="19"/>
          <w:szCs w:val="19"/>
          <w:i w:val="1"/>
          <w:iCs w:val="1"/>
          <w:color w:val="auto"/>
        </w:rPr>
        <w:t xml:space="preserve"> </w:t>
      </w:r>
      <w:r>
        <w:rPr>
          <w:rFonts w:ascii="Arial" w:cs="Arial" w:eastAsia="Arial" w:hAnsi="Arial"/>
          <w:sz w:val="19"/>
          <w:szCs w:val="19"/>
          <w:color w:val="auto"/>
        </w:rPr>
        <w:t>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the provision of a notice of redemption of Notes to be redeemed or during the period between a record date and the next succeeding Interest Payment Date.</w:t>
      </w:r>
    </w:p>
    <w:p>
      <w:pPr>
        <w:spacing w:after="0" w:line="181" w:lineRule="exact"/>
        <w:rPr>
          <w:rFonts w:ascii="Arial" w:cs="Arial" w:eastAsia="Arial" w:hAnsi="Arial"/>
          <w:sz w:val="19"/>
          <w:szCs w:val="19"/>
          <w:color w:val="auto"/>
        </w:rPr>
      </w:pPr>
    </w:p>
    <w:p>
      <w:pPr>
        <w:ind w:left="-540" w:right="20" w:firstLine="645"/>
        <w:spacing w:after="0" w:line="260" w:lineRule="auto"/>
        <w:tabs>
          <w:tab w:leader="none" w:pos="618" w:val="left"/>
        </w:tabs>
        <w:numPr>
          <w:ilvl w:val="0"/>
          <w:numId w:val="107"/>
        </w:numPr>
        <w:rPr>
          <w:rFonts w:ascii="Arial" w:cs="Arial" w:eastAsia="Arial" w:hAnsi="Arial"/>
          <w:sz w:val="20"/>
          <w:szCs w:val="20"/>
          <w:color w:val="auto"/>
        </w:rPr>
      </w:pPr>
      <w:r>
        <w:rPr>
          <w:rFonts w:ascii="Arial" w:cs="Arial" w:eastAsia="Arial" w:hAnsi="Arial"/>
          <w:sz w:val="20"/>
          <w:szCs w:val="20"/>
          <w:i w:val="1"/>
          <w:iCs w:val="1"/>
          <w:color w:val="auto"/>
        </w:rPr>
        <w:t>PERSONS DEEMED OWNERS</w:t>
      </w:r>
      <w:r>
        <w:rPr>
          <w:rFonts w:ascii="Arial" w:cs="Arial" w:eastAsia="Arial" w:hAnsi="Arial"/>
          <w:sz w:val="20"/>
          <w:szCs w:val="20"/>
          <w:color w:val="auto"/>
        </w:rPr>
        <w:t>. The registered Holder of a Note may be treated as the owner of it for all purposes. Only</w:t>
      </w:r>
      <w:r>
        <w:rPr>
          <w:rFonts w:ascii="Arial" w:cs="Arial" w:eastAsia="Arial" w:hAnsi="Arial"/>
          <w:sz w:val="20"/>
          <w:szCs w:val="20"/>
          <w:i w:val="1"/>
          <w:iCs w:val="1"/>
          <w:color w:val="auto"/>
        </w:rPr>
        <w:t xml:space="preserve"> </w:t>
      </w:r>
      <w:r>
        <w:rPr>
          <w:rFonts w:ascii="Arial" w:cs="Arial" w:eastAsia="Arial" w:hAnsi="Arial"/>
          <w:sz w:val="20"/>
          <w:szCs w:val="20"/>
          <w:color w:val="auto"/>
        </w:rPr>
        <w:t>registered Holders have rights under the Indenture.</w:t>
      </w:r>
    </w:p>
    <w:p>
      <w:pPr>
        <w:spacing w:after="0" w:line="176" w:lineRule="exact"/>
        <w:rPr>
          <w:rFonts w:ascii="Arial" w:cs="Arial" w:eastAsia="Arial" w:hAnsi="Arial"/>
          <w:sz w:val="20"/>
          <w:szCs w:val="20"/>
          <w:color w:val="auto"/>
        </w:rPr>
      </w:pPr>
    </w:p>
    <w:p>
      <w:pPr>
        <w:ind w:left="-540" w:right="280" w:firstLine="645"/>
        <w:spacing w:after="0" w:line="316" w:lineRule="auto"/>
        <w:tabs>
          <w:tab w:leader="none" w:pos="611"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AMENDMENT, SUPPLEMENT AND WAIVER</w:t>
      </w:r>
      <w:r>
        <w:rPr>
          <w:rFonts w:ascii="Arial" w:cs="Arial" w:eastAsia="Arial" w:hAnsi="Arial"/>
          <w:sz w:val="18"/>
          <w:szCs w:val="18"/>
          <w:color w:val="auto"/>
        </w:rPr>
        <w:t>. The provisions governing amendment, supplement and waiver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of the Indenture, the Notes or the Note Guarantees are set forth in Article 10 of the Second Supplemental Indenture.</w:t>
      </w:r>
    </w:p>
    <w:p>
      <w:pPr>
        <w:spacing w:after="0" w:line="130" w:lineRule="exact"/>
        <w:rPr>
          <w:rFonts w:ascii="Arial" w:cs="Arial" w:eastAsia="Arial" w:hAnsi="Arial"/>
          <w:sz w:val="18"/>
          <w:szCs w:val="18"/>
          <w:color w:val="auto"/>
        </w:rPr>
      </w:pPr>
    </w:p>
    <w:p>
      <w:pPr>
        <w:ind w:left="-540" w:right="260" w:firstLine="645"/>
        <w:spacing w:after="0" w:line="260" w:lineRule="auto"/>
        <w:tabs>
          <w:tab w:leader="none" w:pos="618" w:val="left"/>
        </w:tabs>
        <w:numPr>
          <w:ilvl w:val="0"/>
          <w:numId w:val="107"/>
        </w:numPr>
        <w:rPr>
          <w:rFonts w:ascii="Arial" w:cs="Arial" w:eastAsia="Arial" w:hAnsi="Arial"/>
          <w:sz w:val="20"/>
          <w:szCs w:val="20"/>
          <w:color w:val="auto"/>
        </w:rPr>
      </w:pPr>
      <w:r>
        <w:rPr>
          <w:rFonts w:ascii="Arial" w:cs="Arial" w:eastAsia="Arial" w:hAnsi="Arial"/>
          <w:sz w:val="20"/>
          <w:szCs w:val="20"/>
          <w:i w:val="1"/>
          <w:iCs w:val="1"/>
          <w:color w:val="auto"/>
        </w:rPr>
        <w:t>DEFAULTS AND REMEDIES</w:t>
      </w:r>
      <w:r>
        <w:rPr>
          <w:rFonts w:ascii="Arial" w:cs="Arial" w:eastAsia="Arial" w:hAnsi="Arial"/>
          <w:sz w:val="20"/>
          <w:szCs w:val="20"/>
          <w:color w:val="auto"/>
        </w:rPr>
        <w:t>. The Defaults and Event of Default relating to the Notes are set forth in Section 6.01 of</w:t>
      </w:r>
      <w:r>
        <w:rPr>
          <w:rFonts w:ascii="Arial" w:cs="Arial" w:eastAsia="Arial" w:hAnsi="Arial"/>
          <w:sz w:val="20"/>
          <w:szCs w:val="20"/>
          <w:i w:val="1"/>
          <w:iCs w:val="1"/>
          <w:color w:val="auto"/>
        </w:rPr>
        <w:t xml:space="preserve"> </w:t>
      </w:r>
      <w:r>
        <w:rPr>
          <w:rFonts w:ascii="Arial" w:cs="Arial" w:eastAsia="Arial" w:hAnsi="Arial"/>
          <w:sz w:val="20"/>
          <w:szCs w:val="20"/>
          <w:color w:val="auto"/>
        </w:rPr>
        <w:t>the Second Supplemental Indenture.</w:t>
      </w:r>
    </w:p>
    <w:p>
      <w:pPr>
        <w:spacing w:after="0" w:line="176" w:lineRule="exact"/>
        <w:rPr>
          <w:rFonts w:ascii="Arial" w:cs="Arial" w:eastAsia="Arial" w:hAnsi="Arial"/>
          <w:sz w:val="20"/>
          <w:szCs w:val="20"/>
          <w:color w:val="auto"/>
        </w:rPr>
      </w:pPr>
    </w:p>
    <w:p>
      <w:pPr>
        <w:ind w:left="-540" w:right="20" w:firstLine="645"/>
        <w:spacing w:after="0" w:line="250" w:lineRule="auto"/>
        <w:tabs>
          <w:tab w:leader="none" w:pos="618" w:val="left"/>
        </w:tabs>
        <w:numPr>
          <w:ilvl w:val="0"/>
          <w:numId w:val="107"/>
        </w:numPr>
        <w:rPr>
          <w:rFonts w:ascii="Arial" w:cs="Arial" w:eastAsia="Arial" w:hAnsi="Arial"/>
          <w:sz w:val="20"/>
          <w:szCs w:val="20"/>
          <w:color w:val="auto"/>
        </w:rPr>
      </w:pPr>
      <w:r>
        <w:rPr>
          <w:rFonts w:ascii="Arial" w:cs="Arial" w:eastAsia="Arial" w:hAnsi="Arial"/>
          <w:sz w:val="20"/>
          <w:szCs w:val="20"/>
          <w:i w:val="1"/>
          <w:iCs w:val="1"/>
          <w:color w:val="auto"/>
        </w:rPr>
        <w:t>TRUSTEE DEALINGS WITH COMPANY</w:t>
      </w:r>
      <w:r>
        <w:rPr>
          <w:rFonts w:ascii="Arial" w:cs="Arial" w:eastAsia="Arial" w:hAnsi="Arial"/>
          <w:sz w:val="20"/>
          <w:szCs w:val="20"/>
          <w:color w:val="auto"/>
        </w:rPr>
        <w:t>. The Trustee, in its individual or any other capacity, may make loans to, accept</w:t>
      </w:r>
      <w:r>
        <w:rPr>
          <w:rFonts w:ascii="Arial" w:cs="Arial" w:eastAsia="Arial" w:hAnsi="Arial"/>
          <w:sz w:val="20"/>
          <w:szCs w:val="20"/>
          <w:i w:val="1"/>
          <w:iCs w:val="1"/>
          <w:color w:val="auto"/>
        </w:rPr>
        <w:t xml:space="preserve"> </w:t>
      </w:r>
      <w:r>
        <w:rPr>
          <w:rFonts w:ascii="Arial" w:cs="Arial" w:eastAsia="Arial" w:hAnsi="Arial"/>
          <w:sz w:val="20"/>
          <w:szCs w:val="20"/>
          <w:color w:val="auto"/>
        </w:rPr>
        <w:t>deposits from, and perform services for the Company or its Affiliates, and may otherwise deal with the Company or its Affiliates, as if it were not the Trustee.</w:t>
      </w:r>
    </w:p>
    <w:p>
      <w:pPr>
        <w:spacing w:after="0" w:line="186" w:lineRule="exact"/>
        <w:rPr>
          <w:rFonts w:ascii="Arial" w:cs="Arial" w:eastAsia="Arial" w:hAnsi="Arial"/>
          <w:sz w:val="20"/>
          <w:szCs w:val="20"/>
          <w:color w:val="auto"/>
        </w:rPr>
      </w:pPr>
    </w:p>
    <w:p>
      <w:pPr>
        <w:ind w:left="-540" w:right="20" w:firstLine="645"/>
        <w:spacing w:after="0" w:line="282" w:lineRule="auto"/>
        <w:tabs>
          <w:tab w:leader="none" w:pos="618"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 director, officer, employee, incorporator or stockholder of the Company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61" w:lineRule="exact"/>
        <w:rPr>
          <w:rFonts w:ascii="Arial" w:cs="Arial" w:eastAsia="Arial" w:hAnsi="Arial"/>
          <w:sz w:val="18"/>
          <w:szCs w:val="18"/>
          <w:color w:val="auto"/>
        </w:rPr>
      </w:pPr>
    </w:p>
    <w:p>
      <w:pPr>
        <w:ind w:left="-540" w:right="660" w:firstLine="645"/>
        <w:spacing w:after="0" w:line="260" w:lineRule="auto"/>
        <w:tabs>
          <w:tab w:leader="none" w:pos="618" w:val="left"/>
        </w:tabs>
        <w:numPr>
          <w:ilvl w:val="0"/>
          <w:numId w:val="107"/>
        </w:numPr>
        <w:rPr>
          <w:rFonts w:ascii="Arial" w:cs="Arial" w:eastAsia="Arial" w:hAnsi="Arial"/>
          <w:sz w:val="20"/>
          <w:szCs w:val="20"/>
          <w:color w:val="auto"/>
        </w:rPr>
      </w:pPr>
      <w:r>
        <w:rPr>
          <w:rFonts w:ascii="Arial" w:cs="Arial" w:eastAsia="Arial" w:hAnsi="Arial"/>
          <w:sz w:val="20"/>
          <w:szCs w:val="20"/>
          <w:i w:val="1"/>
          <w:iCs w:val="1"/>
          <w:color w:val="auto"/>
        </w:rPr>
        <w:t>AUTHENTICATION</w:t>
      </w:r>
      <w:r>
        <w:rPr>
          <w:rFonts w:ascii="Arial" w:cs="Arial" w:eastAsia="Arial" w:hAnsi="Arial"/>
          <w:sz w:val="20"/>
          <w:szCs w:val="20"/>
          <w:color w:val="auto"/>
        </w:rPr>
        <w:t>. This Note will not be valid until authenticated by the manual signature of the Trustee or an</w:t>
      </w:r>
      <w:r>
        <w:rPr>
          <w:rFonts w:ascii="Arial" w:cs="Arial" w:eastAsia="Arial" w:hAnsi="Arial"/>
          <w:sz w:val="20"/>
          <w:szCs w:val="20"/>
          <w:i w:val="1"/>
          <w:iCs w:val="1"/>
          <w:color w:val="auto"/>
        </w:rPr>
        <w:t xml:space="preserve"> </w:t>
      </w:r>
      <w:r>
        <w:rPr>
          <w:rFonts w:ascii="Arial" w:cs="Arial" w:eastAsia="Arial" w:hAnsi="Arial"/>
          <w:sz w:val="20"/>
          <w:szCs w:val="20"/>
          <w:color w:val="auto"/>
        </w:rPr>
        <w:t>authenticating agent.</w:t>
      </w:r>
    </w:p>
    <w:p>
      <w:pPr>
        <w:spacing w:after="0" w:line="176" w:lineRule="exact"/>
        <w:rPr>
          <w:rFonts w:ascii="Arial" w:cs="Arial" w:eastAsia="Arial" w:hAnsi="Arial"/>
          <w:sz w:val="20"/>
          <w:szCs w:val="20"/>
          <w:color w:val="auto"/>
        </w:rPr>
      </w:pPr>
    </w:p>
    <w:p>
      <w:pPr>
        <w:ind w:left="-540" w:right="20" w:firstLine="645"/>
        <w:spacing w:after="0" w:line="250" w:lineRule="auto"/>
        <w:tabs>
          <w:tab w:leader="none" w:pos="618" w:val="left"/>
        </w:tabs>
        <w:numPr>
          <w:ilvl w:val="0"/>
          <w:numId w:val="107"/>
        </w:numPr>
        <w:rPr>
          <w:rFonts w:ascii="Arial" w:cs="Arial" w:eastAsia="Arial" w:hAnsi="Arial"/>
          <w:sz w:val="20"/>
          <w:szCs w:val="20"/>
          <w:color w:val="auto"/>
        </w:rPr>
      </w:pPr>
      <w:r>
        <w:rPr>
          <w:rFonts w:ascii="Arial" w:cs="Arial" w:eastAsia="Arial" w:hAnsi="Arial"/>
          <w:sz w:val="20"/>
          <w:szCs w:val="20"/>
          <w:i w:val="1"/>
          <w:iCs w:val="1"/>
          <w:color w:val="auto"/>
        </w:rPr>
        <w:t>ABBREVIATIONS</w:t>
      </w:r>
      <w:r>
        <w:rPr>
          <w:rFonts w:ascii="Arial" w:cs="Arial" w:eastAsia="Arial" w:hAnsi="Arial"/>
          <w:sz w:val="20"/>
          <w:szCs w:val="20"/>
          <w:color w:val="auto"/>
        </w:rPr>
        <w:t>. Customary abbreviations may be used in the name of a Holder or an assignee, such as: TEN COM (=</w:t>
      </w:r>
      <w:r>
        <w:rPr>
          <w:rFonts w:ascii="Arial" w:cs="Arial" w:eastAsia="Arial" w:hAnsi="Arial"/>
          <w:sz w:val="20"/>
          <w:szCs w:val="20"/>
          <w:i w:val="1"/>
          <w:iCs w:val="1"/>
          <w:color w:val="auto"/>
        </w:rPr>
        <w:t xml:space="preserve"> </w:t>
      </w:r>
      <w:r>
        <w:rPr>
          <w:rFonts w:ascii="Arial" w:cs="Arial" w:eastAsia="Arial" w:hAnsi="Arial"/>
          <w:sz w:val="20"/>
          <w:szCs w:val="20"/>
          <w:color w:val="auto"/>
        </w:rPr>
        <w:t>tenants in common), TEN ENT (= tenants by the entireties), JT TEN (= joint tenants with right of survivorship and not as tenants in common), CUST (= Custodian), and U/G/M/A (= Uniform Gifts to Minors Act).</w:t>
      </w:r>
    </w:p>
    <w:p>
      <w:pPr>
        <w:spacing w:after="0" w:line="186" w:lineRule="exact"/>
        <w:rPr>
          <w:rFonts w:ascii="Arial" w:cs="Arial" w:eastAsia="Arial" w:hAnsi="Arial"/>
          <w:sz w:val="20"/>
          <w:szCs w:val="20"/>
          <w:color w:val="auto"/>
        </w:rPr>
      </w:pPr>
    </w:p>
    <w:p>
      <w:pPr>
        <w:jc w:val="both"/>
        <w:ind w:left="-540" w:firstLine="645"/>
        <w:spacing w:after="0" w:line="328" w:lineRule="auto"/>
        <w:tabs>
          <w:tab w:leader="none" w:pos="618"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CUSIP NUMBERS</w:t>
      </w:r>
      <w:r>
        <w:rPr>
          <w:rFonts w:ascii="Arial" w:cs="Arial" w:eastAsia="Arial" w:hAnsi="Arial"/>
          <w:sz w:val="16"/>
          <w:szCs w:val="16"/>
          <w:color w:val="auto"/>
        </w:rPr>
        <w:t>. Pursuant to a recommendation promulgated by the Committee on Uniform Security Identification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372"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A-9</w:t>
      </w:r>
    </w:p>
    <w:p>
      <w:pPr>
        <w:sectPr>
          <w:pgSz w:w="11900" w:h="16838" w:orient="portrait"/>
          <w:cols w:equalWidth="0" w:num="1">
            <w:col w:w="10200"/>
          </w:cols>
          <w:pgMar w:left="1440" w:top="595" w:right="259" w:bottom="1440" w:gutter="0" w:footer="0" w:header="0"/>
        </w:sectPr>
      </w:pPr>
    </w:p>
    <w:bookmarkStart w:id="81" w:name="page82"/>
    <w:bookmarkEnd w:id="81"/>
    <w:p>
      <w:pPr>
        <w:jc w:val="both"/>
        <w:ind w:left="-540" w:firstLine="645"/>
        <w:spacing w:after="0" w:line="246" w:lineRule="auto"/>
        <w:tabs>
          <w:tab w:leader="none" w:pos="618" w:val="left"/>
        </w:tabs>
        <w:numPr>
          <w:ilvl w:val="0"/>
          <w:numId w:val="108"/>
        </w:numPr>
        <w:rPr>
          <w:rFonts w:ascii="Arial" w:cs="Arial" w:eastAsia="Arial" w:hAnsi="Arial"/>
          <w:sz w:val="20"/>
          <w:szCs w:val="20"/>
          <w:color w:val="auto"/>
        </w:rPr>
      </w:pPr>
      <w:r>
        <w:rPr>
          <w:rFonts w:ascii="Arial" w:cs="Arial" w:eastAsia="Arial" w:hAnsi="Arial"/>
          <w:sz w:val="20"/>
          <w:szCs w:val="20"/>
          <w:i w:val="1"/>
          <w:iCs w:val="1"/>
          <w:color w:val="auto"/>
        </w:rPr>
        <w:t xml:space="preserve">GOVERNING LAW. </w:t>
      </w:r>
      <w:r>
        <w:rPr>
          <w:rFonts w:ascii="Arial" w:cs="Arial" w:eastAsia="Arial" w:hAnsi="Arial"/>
          <w:sz w:val="20"/>
          <w:szCs w:val="20"/>
          <w:color w:val="auto"/>
        </w:rPr>
        <w:t>THE INDENTURE, EACH OF THE NOTES, EACH OF THE NOTE GUARANTEES AND ANY</w:t>
      </w:r>
      <w:r>
        <w:rPr>
          <w:rFonts w:ascii="Arial" w:cs="Arial" w:eastAsia="Arial" w:hAnsi="Arial"/>
          <w:sz w:val="20"/>
          <w:szCs w:val="20"/>
          <w:i w:val="1"/>
          <w:iCs w:val="1"/>
          <w:color w:val="auto"/>
        </w:rPr>
        <w:t xml:space="preserve"> </w:t>
      </w:r>
      <w:r>
        <w:rPr>
          <w:rFonts w:ascii="Arial" w:cs="Arial" w:eastAsia="Arial" w:hAnsi="Arial"/>
          <w:sz w:val="20"/>
          <w:szCs w:val="20"/>
          <w:color w:val="auto"/>
        </w:rPr>
        <w:t>CLAIM, CONTROVERSY OR DISPUTE ARISING UNDER OR RELATED TO THE INDENTURE, EACH OF THE NOTES AND EACH OF THE NOTE GUARANTEES SHALL BE GOVERNED BY, AND CONSTRUED IN ACCORDANCE WITH THE LAWS OF THE STATE OF NEW YORK.</w:t>
      </w: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A-10</w:t>
      </w:r>
    </w:p>
    <w:p>
      <w:pPr>
        <w:sectPr>
          <w:pgSz w:w="11900" w:h="16838" w:orient="portrait"/>
          <w:cols w:equalWidth="0" w:num="1">
            <w:col w:w="10160"/>
          </w:cols>
          <w:pgMar w:left="1440" w:top="595" w:right="299" w:bottom="1440" w:gutter="0" w:footer="0" w:header="0"/>
        </w:sectPr>
      </w:pPr>
    </w:p>
    <w:bookmarkStart w:id="82" w:name="page83"/>
    <w:bookmarkEnd w:id="82"/>
    <w:p>
      <w:pPr>
        <w:jc w:val="center"/>
        <w:spacing w:after="0"/>
        <w:rPr>
          <w:sz w:val="20"/>
          <w:szCs w:val="20"/>
          <w:color w:val="auto"/>
        </w:rPr>
      </w:pPr>
      <w:r>
        <w:rPr>
          <w:rFonts w:ascii="Arial" w:cs="Arial" w:eastAsia="Arial" w:hAnsi="Arial"/>
          <w:sz w:val="20"/>
          <w:szCs w:val="20"/>
          <w:b w:val="1"/>
          <w:bCs w:val="1"/>
          <w:color w:val="auto"/>
        </w:rPr>
        <w:t>ASSIGNMENT FORM</w:t>
      </w:r>
    </w:p>
    <w:p>
      <w:pPr>
        <w:spacing w:after="0" w:line="3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 assign this Note, fill in the form below:</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2186305</wp:posOffset>
            </wp:positionH>
            <wp:positionV relativeFrom="paragraph">
              <wp:posOffset>-14605</wp:posOffset>
            </wp:positionV>
            <wp:extent cx="125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6000"/>
        <w:spacing w:after="0"/>
        <w:rPr>
          <w:sz w:val="20"/>
          <w:szCs w:val="20"/>
          <w:color w:val="auto"/>
        </w:rPr>
      </w:pPr>
      <w:r>
        <w:rPr>
          <w:rFonts w:ascii="Arial" w:cs="Arial" w:eastAsia="Arial" w:hAnsi="Arial"/>
          <w:sz w:val="20"/>
          <w:szCs w:val="20"/>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257810</wp:posOffset>
            </wp:positionV>
            <wp:extent cx="125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267970</wp:posOffset>
            </wp:positionV>
            <wp:extent cx="125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481965</wp:posOffset>
            </wp:positionV>
            <wp:extent cx="125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696595</wp:posOffset>
            </wp:positionV>
            <wp:extent cx="125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910590</wp:posOffset>
            </wp:positionV>
            <wp:extent cx="125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(Print or type assignee’s name, address and zip code)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-14605</wp:posOffset>
            </wp:positionV>
            <wp:extent cx="125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to transfer this Note on the books of the Company. The agent may substitute another to act for him.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3300095</wp:posOffset>
            </wp:positionH>
            <wp:positionV relativeFrom="paragraph">
              <wp:posOffset>-14605</wp:posOffset>
            </wp:positionV>
            <wp:extent cx="125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color w:val="auto"/>
        </w:rPr>
        <w:t>(Sign exactly as your name appears on the face of this Note)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Signature Guarantee*: _________________________</w:t>
      </w:r>
    </w:p>
    <w:p>
      <w:pPr>
        <w:spacing w:after="0" w:line="229" w:lineRule="exact"/>
        <w:rPr>
          <w:sz w:val="20"/>
          <w:szCs w:val="20"/>
          <w:color w:val="auto"/>
        </w:rPr>
      </w:pPr>
    </w:p>
    <w:p>
      <w:pPr>
        <w:ind w:left="5520" w:right="1280" w:hanging="5512"/>
        <w:spacing w:after="0" w:line="514" w:lineRule="auto"/>
        <w:tabs>
          <w:tab w:leader="none" w:pos="311" w:val="left"/>
        </w:tabs>
        <w:numPr>
          <w:ilvl w:val="0"/>
          <w:numId w:val="109"/>
        </w:numPr>
        <w:rPr>
          <w:rFonts w:ascii="Arial" w:cs="Arial" w:eastAsia="Arial" w:hAnsi="Arial"/>
          <w:sz w:val="20"/>
          <w:szCs w:val="20"/>
          <w:color w:val="auto"/>
        </w:rPr>
      </w:pPr>
      <w:r>
        <w:rPr>
          <w:rFonts w:ascii="Arial" w:cs="Arial" w:eastAsia="Arial" w:hAnsi="Arial"/>
          <w:sz w:val="20"/>
          <w:szCs w:val="20"/>
          <w:color w:val="auto"/>
        </w:rPr>
        <w:t>Participant in a recognized Signature Guarantee Medallion Program (or other signature guarantor acceptable to the Trustee). A-11</w:t>
      </w:r>
    </w:p>
    <w:p>
      <w:pPr>
        <w:sectPr>
          <w:pgSz w:w="11900" w:h="16838" w:orient="portrait"/>
          <w:cols w:equalWidth="0" w:num="1">
            <w:col w:w="11420"/>
          </w:cols>
          <w:pgMar w:left="240" w:top="589" w:right="239" w:bottom="1440" w:gutter="0" w:footer="0" w:header="0"/>
        </w:sectPr>
      </w:pPr>
    </w:p>
    <w:bookmarkStart w:id="83" w:name="page84"/>
    <w:bookmarkEnd w:id="83"/>
    <w:p>
      <w:pPr>
        <w:jc w:val="center"/>
        <w:ind w:right="-79"/>
        <w:spacing w:after="0"/>
        <w:rPr>
          <w:sz w:val="20"/>
          <w:szCs w:val="20"/>
          <w:color w:val="auto"/>
        </w:rPr>
      </w:pPr>
      <w:r>
        <w:rPr>
          <w:rFonts w:ascii="Arial" w:cs="Arial" w:eastAsia="Arial" w:hAnsi="Arial"/>
          <w:sz w:val="18"/>
          <w:szCs w:val="18"/>
          <w:b w:val="1"/>
          <w:bCs w:val="1"/>
          <w:color w:val="auto"/>
        </w:rPr>
        <w:t>CERTIFICATE TO BE DELIVERED UPON EXCHANGE OR REGISTRATION OF TRANSFER RESTRICTED SECURITIES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This certificate relates to $_________ principal amount of Notes held in (check applicable space) ____ book-entry or _____ definitive form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undersigned.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(check one box below):</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has requested the Trustee by written order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has requested the Trustee by written order to exchange or register the transfer of a Note or Notes.</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connection with any transfer of any of the Notes evidenced by this certificate by a Person who is not an affiliate of the Company occurring prior to the expiration of the period referred to in the last sentence of Rule 144(b)(1)(i) under the Securities Act, the undersigned confirms that such Notes are being transferred in accordance with its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266" w:lineRule="exact"/>
        <w:rPr>
          <w:sz w:val="20"/>
          <w:szCs w:val="20"/>
          <w:color w:val="auto"/>
        </w:rPr>
      </w:pPr>
    </w:p>
    <w:p>
      <w:pPr>
        <w:ind w:left="1620" w:hanging="964"/>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Company; or</w:t>
      </w:r>
    </w:p>
    <w:p>
      <w:pPr>
        <w:spacing w:after="0" w:line="279" w:lineRule="exact"/>
        <w:rPr>
          <w:rFonts w:ascii="Arial" w:cs="Arial" w:eastAsia="Arial" w:hAnsi="Arial"/>
          <w:sz w:val="18"/>
          <w:szCs w:val="18"/>
          <w:color w:val="auto"/>
        </w:rPr>
      </w:pPr>
    </w:p>
    <w:p>
      <w:pPr>
        <w:ind w:left="1620" w:hanging="964"/>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Registrar for registration in the name of the Holder, without transfer; or</w:t>
      </w:r>
    </w:p>
    <w:p>
      <w:pPr>
        <w:spacing w:after="0" w:line="279" w:lineRule="exact"/>
        <w:rPr>
          <w:rFonts w:ascii="Arial" w:cs="Arial" w:eastAsia="Arial" w:hAnsi="Arial"/>
          <w:sz w:val="18"/>
          <w:szCs w:val="18"/>
          <w:color w:val="auto"/>
        </w:rPr>
      </w:pPr>
    </w:p>
    <w:p>
      <w:pPr>
        <w:ind w:left="1620" w:hanging="964"/>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of 1933; or</w:t>
      </w:r>
    </w:p>
    <w:p>
      <w:pPr>
        <w:spacing w:after="0" w:line="279" w:lineRule="exact"/>
        <w:rPr>
          <w:rFonts w:ascii="Arial" w:cs="Arial" w:eastAsia="Arial" w:hAnsi="Arial"/>
          <w:sz w:val="18"/>
          <w:szCs w:val="18"/>
          <w:color w:val="auto"/>
        </w:rPr>
      </w:pPr>
    </w:p>
    <w:p>
      <w:pPr>
        <w:ind w:left="1960" w:right="40" w:hanging="1304"/>
        <w:spacing w:after="0" w:line="364" w:lineRule="auto"/>
        <w:tabs>
          <w:tab w:leader="none" w:pos="162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inside the United States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162" w:lineRule="exact"/>
        <w:rPr>
          <w:rFonts w:ascii="Arial" w:cs="Arial" w:eastAsia="Arial" w:hAnsi="Arial"/>
          <w:sz w:val="16"/>
          <w:szCs w:val="16"/>
          <w:color w:val="auto"/>
        </w:rPr>
      </w:pPr>
    </w:p>
    <w:p>
      <w:pPr>
        <w:ind w:left="1960" w:right="260" w:hanging="1304"/>
        <w:spacing w:after="0" w:line="336" w:lineRule="auto"/>
        <w:tabs>
          <w:tab w:leader="none" w:pos="162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outside the United States in an offshore transaction within the meaning of Regulation S under the Securities Act in compliance with Rule 903 or Rule 904 under the Securities Act of 1933 and such Note shall be held immediately after the transfer through Euroclear or Clearstream until the expiration of the Restricted Period (as defined in the Indenture); or</w:t>
      </w:r>
    </w:p>
    <w:p>
      <w:pPr>
        <w:spacing w:after="0" w:line="178" w:lineRule="exact"/>
        <w:rPr>
          <w:rFonts w:ascii="Arial" w:cs="Arial" w:eastAsia="Arial" w:hAnsi="Arial"/>
          <w:sz w:val="17"/>
          <w:szCs w:val="17"/>
          <w:color w:val="auto"/>
        </w:rPr>
      </w:pPr>
    </w:p>
    <w:p>
      <w:pPr>
        <w:ind w:left="1620" w:hanging="964"/>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pursuant to the exemption provided by Rule 144 under the Securities Act of 1933; or</w:t>
      </w:r>
    </w:p>
    <w:p>
      <w:pPr>
        <w:spacing w:after="0" w:line="279" w:lineRule="exact"/>
        <w:rPr>
          <w:rFonts w:ascii="Arial" w:cs="Arial" w:eastAsia="Arial" w:hAnsi="Arial"/>
          <w:sz w:val="18"/>
          <w:szCs w:val="18"/>
          <w:color w:val="auto"/>
        </w:rPr>
      </w:pPr>
    </w:p>
    <w:p>
      <w:pPr>
        <w:ind w:left="1960" w:right="140" w:hanging="1304"/>
        <w:spacing w:after="0" w:line="324" w:lineRule="auto"/>
        <w:tabs>
          <w:tab w:leader="none" w:pos="162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accordance with another exemption from the registration requirements of the Securities Act of 1933 (and based upon an opinion of counsel acceptable to the Company, if the Company so requests).</w:t>
      </w:r>
    </w:p>
    <w:p>
      <w:pPr>
        <w:spacing w:after="0" w:line="143"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 xml:space="preserve">Unless one of the boxes is checked, the Trustee shall refuse to register any of the Notes evidenced by this certificate in the name of any Person other than the registered Holder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box (5), (6) or (7) is checked, the Trustee may require, prior to registering any such transfer of the Notes,</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A-12</w:t>
      </w:r>
    </w:p>
    <w:p>
      <w:pPr>
        <w:sectPr>
          <w:pgSz w:w="11900" w:h="16838" w:orient="portrait"/>
          <w:cols w:equalWidth="0" w:num="1">
            <w:col w:w="11360"/>
          </w:cols>
          <w:pgMar w:left="240" w:top="1053" w:right="299" w:bottom="1440" w:gutter="0" w:footer="0" w:header="0"/>
        </w:sectPr>
      </w:pPr>
    </w:p>
    <w:bookmarkStart w:id="84" w:name="page85"/>
    <w:bookmarkEnd w:id="84"/>
    <w:p>
      <w:pPr>
        <w:ind w:left="660" w:right="440"/>
        <w:spacing w:after="0" w:line="342" w:lineRule="auto"/>
        <w:rPr>
          <w:sz w:val="20"/>
          <w:szCs w:val="20"/>
          <w:color w:val="auto"/>
        </w:rPr>
      </w:pPr>
      <w:r>
        <w:rPr>
          <w:rFonts w:ascii="Arial" w:cs="Arial" w:eastAsia="Arial" w:hAnsi="Arial"/>
          <w:sz w:val="16"/>
          <w:szCs w:val="16"/>
          <w:color w:val="auto"/>
        </w:rPr>
        <w:t>such legal opinions, certifications and other information as the Company has reasonably requested to confirm that such transfer is being made pursuant to an exemption from, or in a transaction not subject to, the registration requirements of the Securities Act of 1933.</w:t>
      </w:r>
    </w:p>
    <w:p>
      <w:pPr>
        <w:spacing w:after="0" w:line="34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Your Signature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 Guarantee:</w:t>
      </w:r>
    </w:p>
    <w:p>
      <w:pPr>
        <w:sectPr>
          <w:pgSz w:w="11900" w:h="16838" w:orient="portrait"/>
          <w:cols w:equalWidth="0" w:num="1">
            <w:col w:w="11300"/>
          </w:cols>
          <w:pgMar w:left="240" w:top="598" w:right="359" w:bottom="1440" w:gutter="0" w:footer="0" w:header="0"/>
        </w:sect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___________________</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w:t>
      </w:r>
    </w:p>
    <w:p>
      <w:pPr>
        <w:spacing w:after="0" w:line="86" w:lineRule="exact"/>
        <w:rPr>
          <w:sz w:val="20"/>
          <w:szCs w:val="20"/>
          <w:color w:val="auto"/>
        </w:rPr>
      </w:pPr>
    </w:p>
    <w:p>
      <w:pPr>
        <w:sectPr>
          <w:pgSz w:w="11900" w:h="16838" w:orient="portrait"/>
          <w:cols w:equalWidth="0" w:num="2">
            <w:col w:w="4600" w:space="720"/>
            <w:col w:w="5980"/>
          </w:cols>
          <w:pgMar w:left="240" w:top="598" w:right="3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Signature must be guaranteed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a participant in 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signature guaranty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medallion program or other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5"/>
          <w:szCs w:val="15"/>
          <w:color w:val="auto"/>
        </w:rPr>
        <w:t>signature guarantor acceptable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Signature of Signature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Guarantee</w:t>
      </w:r>
    </w:p>
    <w:p>
      <w:pPr>
        <w:spacing w:after="0" w:line="1064" w:lineRule="exact"/>
        <w:rPr>
          <w:sz w:val="20"/>
          <w:szCs w:val="20"/>
          <w:color w:val="auto"/>
        </w:rPr>
      </w:pPr>
    </w:p>
    <w:p>
      <w:pPr>
        <w:sectPr>
          <w:pgSz w:w="11900" w:h="16838" w:orient="portrait"/>
          <w:cols w:equalWidth="0" w:num="2">
            <w:col w:w="4620" w:space="720"/>
            <w:col w:w="5960"/>
          </w:cols>
          <w:pgMar w:left="240" w:top="598" w:right="359" w:bottom="1440" w:gutter="0" w:footer="0" w:header="0"/>
          <w:type w:val="continuous"/>
        </w:sectPr>
      </w:pP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TO BE COMPLETED BY PURCHASER IF (4) ABOVE IS CHECKED.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8433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205"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and the Guarantors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31750</wp:posOffset>
            </wp:positionV>
            <wp:extent cx="34817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NOTICE: To be executed by</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an executive officer</w:t>
      </w: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A-13</w:t>
      </w:r>
    </w:p>
    <w:p>
      <w:pPr>
        <w:sectPr>
          <w:pgSz w:w="11900" w:h="16838" w:orient="portrait"/>
          <w:cols w:equalWidth="0" w:num="1">
            <w:col w:w="11300"/>
          </w:cols>
          <w:pgMar w:left="240" w:top="598" w:right="35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20"/>
          <w:szCs w:val="20"/>
          <w:b w:val="1"/>
          <w:bCs w:val="1"/>
          <w:color w:val="auto"/>
        </w:rPr>
        <w:t>OPTION OF HOLDER TO ELECT PURCHASE</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If you want to elect to have this Note purchased by the Company pursuant to Section 4.04 of the Second Supplemental Indenture, check the box below:</w:t>
      </w:r>
    </w:p>
    <w:p>
      <w:pPr>
        <w:spacing w:after="0" w:line="177"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ÿ Section 4.04</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If you want to elect to have only part of the Note purchased by the Company pursuant to Section Section 4.04 of the Indenture, state the amount you elect to have purchased:</w:t>
      </w:r>
    </w:p>
    <w:p>
      <w:pPr>
        <w:spacing w:after="0" w:line="177"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3300095</wp:posOffset>
            </wp:positionH>
            <wp:positionV relativeFrom="paragraph">
              <wp:posOffset>-14605</wp:posOffset>
            </wp:positionV>
            <wp:extent cx="125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color w:val="auto"/>
        </w:rPr>
        <w:t>(Sign exactly as your name appears on the face of this Note)</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-14605</wp:posOffset>
            </wp:positionV>
            <wp:extent cx="125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Signature Guarantee*: _________________________</w:t>
      </w:r>
    </w:p>
    <w:p>
      <w:pPr>
        <w:spacing w:after="0" w:line="229" w:lineRule="exact"/>
        <w:rPr>
          <w:sz w:val="20"/>
          <w:szCs w:val="20"/>
          <w:color w:val="auto"/>
        </w:rPr>
      </w:pPr>
    </w:p>
    <w:p>
      <w:pPr>
        <w:ind w:left="300" w:hanging="292"/>
        <w:spacing w:after="0"/>
        <w:tabs>
          <w:tab w:leader="none" w:pos="3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Participant in a recognized Signature Guarantee Medallion Program (or other signature guarantor acceptable to the Trustee).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31" w:lineRule="exact"/>
        <w:rPr>
          <w:rFonts w:ascii="Arial" w:cs="Arial" w:eastAsia="Arial" w:hAnsi="Arial"/>
          <w:sz w:val="20"/>
          <w:szCs w:val="20"/>
          <w:color w:val="auto"/>
        </w:rPr>
      </w:pPr>
    </w:p>
    <w:p>
      <w:pPr>
        <w:ind w:left="5520"/>
        <w:spacing w:after="0"/>
        <w:rPr>
          <w:rFonts w:ascii="Arial" w:cs="Arial" w:eastAsia="Arial" w:hAnsi="Arial"/>
          <w:sz w:val="20"/>
          <w:szCs w:val="20"/>
          <w:color w:val="auto"/>
        </w:rPr>
      </w:pPr>
      <w:r>
        <w:rPr>
          <w:rFonts w:ascii="Arial" w:cs="Arial" w:eastAsia="Arial" w:hAnsi="Arial"/>
          <w:sz w:val="20"/>
          <w:szCs w:val="20"/>
          <w:color w:val="auto"/>
        </w:rPr>
        <w:t>A-14</w:t>
      </w:r>
    </w:p>
    <w:p>
      <w:pPr>
        <w:sectPr>
          <w:pgSz w:w="11900" w:h="16838" w:orient="portrait"/>
          <w:cols w:equalWidth="0" w:num="1">
            <w:col w:w="11420"/>
          </w:cols>
          <w:pgMar w:left="240" w:top="589" w:right="23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9019"/>
          </w:cols>
          <w:pgMar w:left="1440" w:top="1068" w:right="1440" w:bottom="1440" w:gutter="0" w:footer="0" w:header="0"/>
        </w:sectPr>
      </w:pPr>
    </w:p>
    <w:bookmarkStart w:id="87" w:name="page88"/>
    <w:bookmarkEnd w:id="87"/>
    <w:p>
      <w:pPr>
        <w:jc w:val="center"/>
        <w:ind w:right="-519"/>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EXCHANGES OF INTERESTS IN THE GLOBAL NOTE***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333" w:lineRule="exact"/>
        <w:rPr>
          <w:sz w:val="20"/>
          <w:szCs w:val="20"/>
          <w:color w:val="auto"/>
        </w:rPr>
      </w:pPr>
    </w:p>
    <w:tbl>
      <w:tblPr>
        <w:tblLayout w:type="fixed"/>
        <w:tblInd w:w="480" w:type="dxa"/>
        <w:tblCellMar>
          <w:top w:w="0" w:type="dxa"/>
          <w:left w:w="0" w:type="dxa"/>
          <w:bottom w:w="0" w:type="dxa"/>
          <w:right w:w="0" w:type="dxa"/>
        </w:tblCellMar>
      </w:tblPr>
      <w:tr>
        <w:trPr>
          <w:trHeight w:val="203"/>
        </w:trPr>
        <w:tc>
          <w:tcPr>
            <w:tcW w:w="15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0"/>
              </w:rPr>
              <w:t>Amount of increase in</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1"/>
              </w:rPr>
              <w:t>Principal Amount of this</w:t>
            </w:r>
          </w:p>
        </w:tc>
        <w:tc>
          <w:tcPr>
            <w:tcW w:w="198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2400" w:type="dxa"/>
            <w:vAlign w:val="bottom"/>
          </w:tcPr>
          <w:p>
            <w:pPr>
              <w:jc w:val="center"/>
              <w:ind w:left="59"/>
              <w:spacing w:after="0"/>
              <w:rPr>
                <w:sz w:val="20"/>
                <w:szCs w:val="20"/>
                <w:color w:val="auto"/>
              </w:rPr>
            </w:pPr>
            <w:r>
              <w:rPr>
                <w:rFonts w:ascii="Arial" w:cs="Arial" w:eastAsia="Arial" w:hAnsi="Arial"/>
                <w:sz w:val="16"/>
                <w:szCs w:val="16"/>
                <w:b w:val="1"/>
                <w:bCs w:val="1"/>
                <w:color w:val="auto"/>
                <w:w w:val="89"/>
              </w:rPr>
              <w:t>Amount of decrease in</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2"/>
              </w:rPr>
              <w:t>Principal Amount of this</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0"/>
              </w:rPr>
              <w:t>Global Note following such</w:t>
            </w:r>
          </w:p>
        </w:tc>
        <w:tc>
          <w:tcPr>
            <w:tcW w:w="198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Signature of authorized</w:t>
            </w:r>
          </w:p>
        </w:tc>
      </w:tr>
      <w:tr>
        <w:trPr>
          <w:trHeight w:val="210"/>
        </w:trPr>
        <w:tc>
          <w:tcPr>
            <w:tcW w:w="1520" w:type="dxa"/>
            <w:vAlign w:val="bottom"/>
          </w:tcPr>
          <w:p>
            <w:pPr>
              <w:spacing w:after="0"/>
              <w:rPr>
                <w:sz w:val="20"/>
                <w:szCs w:val="20"/>
                <w:color w:val="auto"/>
              </w:rPr>
            </w:pPr>
            <w:r>
              <w:rPr>
                <w:rFonts w:ascii="Arial" w:cs="Arial" w:eastAsia="Arial" w:hAnsi="Arial"/>
                <w:sz w:val="16"/>
                <w:szCs w:val="16"/>
                <w:b w:val="1"/>
                <w:bCs w:val="1"/>
                <w:color w:val="auto"/>
              </w:rPr>
              <w:t>Date of Exchange</w:t>
            </w:r>
          </w:p>
        </w:tc>
        <w:tc>
          <w:tcPr>
            <w:tcW w:w="2400" w:type="dxa"/>
            <w:vAlign w:val="bottom"/>
          </w:tcPr>
          <w:p>
            <w:pPr>
              <w:jc w:val="center"/>
              <w:ind w:left="59"/>
              <w:spacing w:after="0"/>
              <w:rPr>
                <w:sz w:val="20"/>
                <w:szCs w:val="20"/>
                <w:color w:val="auto"/>
              </w:rPr>
            </w:pPr>
            <w:r>
              <w:rPr>
                <w:rFonts w:ascii="Arial" w:cs="Arial" w:eastAsia="Arial" w:hAnsi="Arial"/>
                <w:sz w:val="16"/>
                <w:szCs w:val="16"/>
                <w:b w:val="1"/>
                <w:bCs w:val="1"/>
                <w:color w:val="auto"/>
                <w:w w:val="91"/>
              </w:rPr>
              <w:t>Amount of this Global Note</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3"/>
              </w:rPr>
              <w:t>Global Note</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88"/>
              </w:rPr>
              <w:t>decrease (or increase)</w:t>
            </w:r>
          </w:p>
        </w:tc>
        <w:tc>
          <w:tcPr>
            <w:tcW w:w="1980" w:type="dxa"/>
            <w:vAlign w:val="bottom"/>
          </w:tcPr>
          <w:p>
            <w:pPr>
              <w:jc w:val="center"/>
              <w:ind w:left="79"/>
              <w:spacing w:after="0"/>
              <w:rPr>
                <w:sz w:val="20"/>
                <w:szCs w:val="20"/>
                <w:color w:val="auto"/>
              </w:rPr>
            </w:pPr>
            <w:r>
              <w:rPr>
                <w:rFonts w:ascii="Arial" w:cs="Arial" w:eastAsia="Arial" w:hAnsi="Arial"/>
                <w:sz w:val="16"/>
                <w:szCs w:val="16"/>
                <w:b w:val="1"/>
                <w:bCs w:val="1"/>
                <w:color w:val="auto"/>
                <w:w w:val="90"/>
              </w:rPr>
              <w:t>Trustee or Note 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68865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 This Schedule should be included only if the Note is issued in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20"/>
          <w:szCs w:val="20"/>
          <w:color w:val="auto"/>
        </w:rPr>
        <w:t>A-16</w:t>
      </w:r>
    </w:p>
    <w:p>
      <w:pPr>
        <w:sectPr>
          <w:pgSz w:w="11900" w:h="16838" w:orient="portrait"/>
          <w:cols w:equalWidth="0" w:num="1">
            <w:col w:w="10920"/>
          </w:cols>
          <w:pgMar w:left="240" w:top="594" w:right="739" w:bottom="1440" w:gutter="0" w:footer="0" w:header="0"/>
        </w:sectPr>
      </w:pPr>
    </w:p>
    <w:bookmarkStart w:id="88" w:name="page89"/>
    <w:bookmarkEnd w:id="88"/>
    <w:p>
      <w:pPr>
        <w:ind w:left="9940"/>
        <w:spacing w:after="0"/>
        <w:rPr>
          <w:sz w:val="20"/>
          <w:szCs w:val="20"/>
          <w:color w:val="auto"/>
        </w:rPr>
      </w:pPr>
      <w:r>
        <w:rPr>
          <w:rFonts w:ascii="Arial" w:cs="Arial" w:eastAsia="Arial" w:hAnsi="Arial"/>
          <w:sz w:val="20"/>
          <w:szCs w:val="20"/>
          <w:b w:val="1"/>
          <w:bCs w:val="1"/>
          <w:color w:val="auto"/>
        </w:rPr>
        <w:t>EXHIBIT B</w:t>
      </w: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[FORM OF SUPPLEMENTAL INDENTURE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DELIVERED BY SUBSEQUENT GUARANTORS]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________________, among __________________ (the</w:t>
      </w:r>
    </w:p>
    <w:p>
      <w:pPr>
        <w:spacing w:after="0" w:line="39"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Guaranteeing Subsidiary</w:t>
      </w:r>
      <w:r>
        <w:rPr>
          <w:rFonts w:ascii="Arial" w:cs="Arial" w:eastAsia="Arial" w:hAnsi="Arial"/>
          <w:sz w:val="20"/>
          <w:szCs w:val="20"/>
          <w:color w:val="auto"/>
        </w:rPr>
        <w:t>”), a subsidiary of Charles River Laboratories International, Inc. (or its permitted successor), a Delaware corporation (the “</w:t>
      </w:r>
      <w:r>
        <w:rPr>
          <w:rFonts w:ascii="Arial" w:cs="Arial" w:eastAsia="Arial" w:hAnsi="Arial"/>
          <w:sz w:val="20"/>
          <w:szCs w:val="20"/>
          <w:i w:val="1"/>
          <w:iCs w:val="1"/>
          <w:color w:val="auto"/>
        </w:rPr>
        <w:t>Company</w:t>
      </w:r>
      <w:r>
        <w:rPr>
          <w:rFonts w:ascii="Arial" w:cs="Arial" w:eastAsia="Arial" w:hAnsi="Arial"/>
          <w:sz w:val="20"/>
          <w:szCs w:val="20"/>
          <w:color w:val="auto"/>
        </w:rPr>
        <w:t>”), the Company, the other Guarantors (as defined in the Indenture referred to herein) and MUFG Union Bank, N.A., as trustee under the Indenture referred to below (the “</w:t>
      </w:r>
      <w:r>
        <w:rPr>
          <w:rFonts w:ascii="Arial" w:cs="Arial" w:eastAsia="Arial" w:hAnsi="Arial"/>
          <w:sz w:val="20"/>
          <w:szCs w:val="20"/>
          <w:i w:val="1"/>
          <w:iCs w:val="1"/>
          <w:color w:val="auto"/>
        </w:rPr>
        <w:t>Trustee</w:t>
      </w:r>
      <w:r>
        <w:rPr>
          <w:rFonts w:ascii="Arial" w:cs="Arial" w:eastAsia="Arial" w:hAnsi="Arial"/>
          <w:sz w:val="20"/>
          <w:szCs w:val="20"/>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 I T N E S S E T H</w:t>
      </w:r>
    </w:p>
    <w:p>
      <w:pPr>
        <w:spacing w:after="0" w:line="222"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WHEREAS, the Company has heretofore executed and delivered to the Trustee an indenture (the “</w:t>
      </w:r>
      <w:r>
        <w:rPr>
          <w:rFonts w:ascii="Arial" w:cs="Arial" w:eastAsia="Arial" w:hAnsi="Arial"/>
          <w:sz w:val="19"/>
          <w:szCs w:val="19"/>
          <w:i w:val="1"/>
          <w:iCs w:val="1"/>
          <w:color w:val="auto"/>
        </w:rPr>
        <w:t>Original Indenture</w:t>
      </w:r>
      <w:r>
        <w:rPr>
          <w:rFonts w:ascii="Arial" w:cs="Arial" w:eastAsia="Arial" w:hAnsi="Arial"/>
          <w:sz w:val="19"/>
          <w:szCs w:val="19"/>
          <w:color w:val="auto"/>
        </w:rPr>
        <w:t>”), dated as of April 3, 2018 and a Second Supplemental Indenture, dated as of October 23, 2019 (the “</w:t>
      </w:r>
      <w:r>
        <w:rPr>
          <w:rFonts w:ascii="Arial" w:cs="Arial" w:eastAsia="Arial" w:hAnsi="Arial"/>
          <w:sz w:val="19"/>
          <w:szCs w:val="19"/>
          <w:i w:val="1"/>
          <w:iCs w:val="1"/>
          <w:color w:val="auto"/>
        </w:rPr>
        <w:t>Second Supplemental Indenture</w:t>
      </w:r>
      <w:r>
        <w:rPr>
          <w:rFonts w:ascii="Arial" w:cs="Arial" w:eastAsia="Arial" w:hAnsi="Arial"/>
          <w:sz w:val="19"/>
          <w:szCs w:val="19"/>
          <w:color w:val="auto"/>
        </w:rPr>
        <w:t>” and, together with the Original Indenture, the “</w:t>
      </w:r>
      <w:r>
        <w:rPr>
          <w:rFonts w:ascii="Arial" w:cs="Arial" w:eastAsia="Arial" w:hAnsi="Arial"/>
          <w:sz w:val="19"/>
          <w:szCs w:val="19"/>
          <w:i w:val="1"/>
          <w:iCs w:val="1"/>
          <w:color w:val="auto"/>
        </w:rPr>
        <w:t>Indenture</w:t>
      </w:r>
      <w:r>
        <w:rPr>
          <w:rFonts w:ascii="Arial" w:cs="Arial" w:eastAsia="Arial" w:hAnsi="Arial"/>
          <w:sz w:val="19"/>
          <w:szCs w:val="19"/>
          <w:color w:val="auto"/>
        </w:rPr>
        <w:t>”) providing for the issuance of 4.250% Senior Notes due 2028 (the “</w:t>
      </w:r>
      <w:r>
        <w:rPr>
          <w:rFonts w:ascii="Arial" w:cs="Arial" w:eastAsia="Arial" w:hAnsi="Arial"/>
          <w:sz w:val="19"/>
          <w:szCs w:val="19"/>
          <w:i w:val="1"/>
          <w:iCs w:val="1"/>
          <w:color w:val="auto"/>
        </w:rPr>
        <w:t>Notes</w:t>
      </w:r>
      <w:r>
        <w:rPr>
          <w:rFonts w:ascii="Arial" w:cs="Arial" w:eastAsia="Arial" w:hAnsi="Arial"/>
          <w:sz w:val="19"/>
          <w:szCs w:val="19"/>
          <w:color w:val="auto"/>
        </w:rPr>
        <w:t>”);</w:t>
      </w:r>
    </w:p>
    <w:p>
      <w:pPr>
        <w:spacing w:after="0" w:line="170" w:lineRule="exact"/>
        <w:rPr>
          <w:sz w:val="20"/>
          <w:szCs w:val="20"/>
          <w:color w:val="auto"/>
        </w:rPr>
      </w:pPr>
    </w:p>
    <w:p>
      <w:pPr>
        <w:ind w:right="520" w:firstLine="648"/>
        <w:spacing w:after="0" w:line="291"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52" w:lineRule="exact"/>
        <w:rPr>
          <w:sz w:val="20"/>
          <w:szCs w:val="20"/>
          <w:color w:val="auto"/>
        </w:rPr>
      </w:pPr>
    </w:p>
    <w:p>
      <w:pPr>
        <w:ind w:right="440" w:firstLine="648"/>
        <w:spacing w:after="0" w:line="260" w:lineRule="auto"/>
        <w:rPr>
          <w:sz w:val="20"/>
          <w:szCs w:val="20"/>
          <w:color w:val="auto"/>
        </w:rPr>
      </w:pPr>
      <w:r>
        <w:rPr>
          <w:rFonts w:ascii="Arial" w:cs="Arial" w:eastAsia="Arial" w:hAnsi="Arial"/>
          <w:sz w:val="20"/>
          <w:szCs w:val="20"/>
          <w:color w:val="auto"/>
        </w:rPr>
        <w:t>WHEREAS, pursuant to Section 10.01 of the Second Supplemental Indenture, the Trustee is authorized to execute and deliver this Supplemental Indenture.</w:t>
      </w:r>
    </w:p>
    <w:p>
      <w:pPr>
        <w:spacing w:after="0" w:line="177"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6" w:lineRule="exact"/>
        <w:rPr>
          <w:sz w:val="20"/>
          <w:szCs w:val="20"/>
          <w:color w:val="auto"/>
        </w:rPr>
      </w:pPr>
    </w:p>
    <w:p>
      <w:pPr>
        <w:ind w:left="1000" w:hanging="344"/>
        <w:spacing w:after="0"/>
        <w:tabs>
          <w:tab w:leader="none" w:pos="10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CAPITALIZED TERMS. Capitalized terms used herein without definition shall have the meanings assigned to them in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Indenture.</w:t>
      </w:r>
    </w:p>
    <w:p>
      <w:pPr>
        <w:spacing w:after="0" w:line="199" w:lineRule="exact"/>
        <w:rPr>
          <w:rFonts w:ascii="Arial" w:cs="Arial" w:eastAsia="Arial" w:hAnsi="Arial"/>
          <w:sz w:val="19"/>
          <w:szCs w:val="19"/>
          <w:color w:val="auto"/>
        </w:rPr>
      </w:pPr>
    </w:p>
    <w:p>
      <w:pPr>
        <w:ind w:right="440" w:firstLine="656"/>
        <w:spacing w:after="0" w:line="316" w:lineRule="auto"/>
        <w:tabs>
          <w:tab w:leader="none" w:pos="98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agrees to provide an unconditional Guarantee on the terms and subject to the conditions set forth in the Second Supplemental Indenture including but not limited to Article 9 thereof.</w:t>
      </w:r>
    </w:p>
    <w:p>
      <w:pPr>
        <w:spacing w:after="0" w:line="130" w:lineRule="exact"/>
        <w:rPr>
          <w:sz w:val="20"/>
          <w:szCs w:val="20"/>
          <w:color w:val="auto"/>
        </w:rPr>
      </w:pPr>
    </w:p>
    <w:p>
      <w:pPr>
        <w:ind w:right="360" w:firstLine="656"/>
        <w:spacing w:after="0" w:line="282" w:lineRule="auto"/>
        <w:tabs>
          <w:tab w:leader="none" w:pos="9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61" w:lineRule="exact"/>
        <w:rPr>
          <w:rFonts w:ascii="Arial" w:cs="Arial" w:eastAsia="Arial" w:hAnsi="Arial"/>
          <w:sz w:val="18"/>
          <w:szCs w:val="18"/>
          <w:color w:val="auto"/>
        </w:rPr>
      </w:pPr>
    </w:p>
    <w:p>
      <w:pPr>
        <w:ind w:firstLine="656"/>
        <w:spacing w:after="0" w:line="250" w:lineRule="auto"/>
        <w:tabs>
          <w:tab w:leader="none" w:pos="99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NEW YORK LAW TO GOVERN. THIS SUPPLEMENTAL INDENTURE AND ANY CLAIM, CONTROVERSY OR DISPUTE ARISING UNDER OR RELATED TO THIS SUPPLEMENTAL INDENTURE SHALL BE GOVERNED BY, AND CONSTRUED IN ACCORDANCE WITH, THE LAWS OF THE STATE OF NEW YORK.</w:t>
      </w:r>
    </w:p>
    <w:p>
      <w:pPr>
        <w:spacing w:after="0" w:line="186" w:lineRule="exact"/>
        <w:rPr>
          <w:rFonts w:ascii="Arial" w:cs="Arial" w:eastAsia="Arial" w:hAnsi="Arial"/>
          <w:sz w:val="20"/>
          <w:szCs w:val="20"/>
          <w:color w:val="auto"/>
        </w:rPr>
      </w:pPr>
    </w:p>
    <w:p>
      <w:pPr>
        <w:ind w:right="500" w:firstLine="656"/>
        <w:spacing w:after="0" w:line="260" w:lineRule="auto"/>
        <w:tabs>
          <w:tab w:leader="none" w:pos="99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COUNTERPARTS. The parties may sign any number of copies of this Supplemental Indenture. Each signed copy shall be an original, but all of them together represent the same agreement.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1420"/>
          </w:cols>
          <w:pgMar w:left="240" w:top="115" w:right="239" w:bottom="1440" w:gutter="0" w:footer="0" w:header="0"/>
        </w:sectPr>
      </w:pPr>
    </w:p>
    <w:bookmarkStart w:id="89" w:name="page90"/>
    <w:bookmarkEnd w:id="89"/>
    <w:p>
      <w:pPr>
        <w:ind w:left="780" w:hanging="344"/>
        <w:spacing w:after="0"/>
        <w:tabs>
          <w:tab w:leader="none" w:pos="7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38" w:lineRule="exact"/>
        <w:rPr>
          <w:rFonts w:ascii="Arial" w:cs="Arial" w:eastAsia="Arial" w:hAnsi="Arial"/>
          <w:sz w:val="18"/>
          <w:szCs w:val="18"/>
          <w:color w:val="auto"/>
        </w:rPr>
      </w:pPr>
    </w:p>
    <w:p>
      <w:pPr>
        <w:ind w:left="-220" w:firstLine="656"/>
        <w:spacing w:after="0" w:line="250" w:lineRule="auto"/>
        <w:tabs>
          <w:tab w:leader="none" w:pos="771"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w:t>
      </w:r>
    </w:p>
    <w:p>
      <w:pPr>
        <w:sectPr>
          <w:pgSz w:w="11900" w:h="16838" w:orient="portrait"/>
          <w:cols w:equalWidth="0" w:num="1">
            <w:col w:w="11000"/>
          </w:cols>
          <w:pgMar w:left="460" w:top="595" w:right="439" w:bottom="1440" w:gutter="0" w:footer="0" w:header="0"/>
        </w:sectPr>
      </w:pPr>
    </w:p>
    <w:bookmarkStart w:id="90" w:name="page91"/>
    <w:bookmarkEnd w:id="9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and attested, all as of the date first above written.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Dated: _______________,</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CHARLES RIVER LABORATORIES INTERNATIONAL, INC.</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w:t>
      </w: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[GUARANTEEING SUBSIDIARY]</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w:t>
      </w: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MUFG UNION BANK, N.A.,</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Trustee</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B-3</w:t>
      </w:r>
    </w:p>
    <w:p>
      <w:pPr>
        <w:sectPr>
          <w:pgSz w:w="11900" w:h="16838" w:orient="portrait"/>
          <w:cols w:equalWidth="0" w:num="1">
            <w:col w:w="11120"/>
          </w:cols>
          <w:pgMar w:left="240" w:top="595" w:right="53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134620</wp:posOffset>
            </wp:positionV>
            <wp:extent cx="1766570" cy="454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6657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CHARLES RIVER LABORATORIES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OF SENIOR NOTES OFFERING</w:t>
      </w:r>
    </w:p>
    <w:p>
      <w:pPr>
        <w:spacing w:after="0" w:line="200" w:lineRule="exact"/>
        <w:rPr>
          <w:sz w:val="20"/>
          <w:szCs w:val="20"/>
          <w:color w:val="auto"/>
        </w:rPr>
      </w:pPr>
    </w:p>
    <w:p>
      <w:pPr>
        <w:spacing w:after="0" w:line="223"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 xml:space="preserve">WILMINGTON, MA, October 23, 2019 </w:t>
      </w:r>
      <w:r>
        <w:rPr>
          <w:rFonts w:ascii="Arial" w:cs="Arial" w:eastAsia="Arial" w:hAnsi="Arial"/>
          <w:sz w:val="16"/>
          <w:szCs w:val="16"/>
          <w:color w:val="auto"/>
        </w:rPr>
        <w:t>- Charles River Laboratories International, Inc. (NYSE: CRL) announced today that it has closed its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offering of $500 million in aggregate principal amount of its 4.25% senior notes due 2028 (the “notes”) in an unregistered offering.</w:t>
      </w:r>
    </w:p>
    <w:p>
      <w:pPr>
        <w:spacing w:after="0" w:line="12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notes have not been, and will not be, registered under the Securities Act of 1933, as amended (the “Securities Act”), or under the securities laws of any other jurisdiction. Unless they are registered, the notes may be offered only in transactions that are exempt from registration under the Securities Act and applicable state securities laws. The notes were offered only to persons reasonably believed to be qualified institutional buyers under Rule 144A under the Securities Act and to non-U.S. persons outside the United States under Regulation S of the Securities Act.</w:t>
      </w:r>
    </w:p>
    <w:p>
      <w:pPr>
        <w:spacing w:after="0" w:line="17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This press release does not constitute an offer to sell or a solicitation of an offer to buy the notes, nor shall there be any sale of the notes in any state or jurisdiction in which such an offer, solicitation, or sale would be unlawful prior to registration or qualification under the securities laws of any such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 Concerning Forward-Looking Statements</w:t>
      </w:r>
    </w:p>
    <w:p>
      <w:pPr>
        <w:spacing w:after="0" w:line="22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This press release includes forward-looking statements within the meaning of the Private Securities Litigation Reform Act of 1995. Forward-looking statements may be identified by the use of words such as “anticipate,” “believe,” “expect,” “intend,” “would,” “will,” “may,” “estimate,” “plan,” “outlook,” and “project” and other similar expressions that predict or indicate future events or trends or that are not statements of historical matters. Forward-looking statements are based on Charles River’s current expectations and beliefs, and involve a number of risks and uncertainties that are difficult to predict and that could cause actual results to differ materially from those stated or implied by the forward-looking statements. A further description of these risks, uncertainties, and other matters can be found in the Risk Factors detailed in Charles River's Annual Report on Form 10-K as filed on February 13, 2019 and in its Quarterly Report on Form 10-Q as filed on July 31, 2019, as well as other filings we make with the Securities and Exchange Commission. Because forward-looking statements involve risks and uncertainties, actual results and events may differ materially from results and events currently expected by Charles River, and Charles River assumes no obligation and expressly disclaims any duty to update information contained in this news release except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Charles River</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Charles River provides essential products and services to help pharmaceutical and biotechnology companies, government agencies and leading academic institutions around the globe accelerate their research and drug development efforts. Our dedicated employees are focused on providing clients with exactly what they need to improve and expedite the discovery, early-stage development and safe manufacture of new therapies for the patients who need them.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130"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Todd Spencer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781.222.6455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Amy Cianciaruso</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Corporate Vice President,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781.222.6168</w:t>
      </w:r>
    </w:p>
    <w:p>
      <w:pPr>
        <w:spacing w:after="0" w:line="200" w:lineRule="exact"/>
        <w:rPr>
          <w:sz w:val="20"/>
          <w:szCs w:val="20"/>
          <w:color w:val="auto"/>
        </w:rPr>
      </w:pPr>
    </w:p>
    <w:p>
      <w:pPr>
        <w:sectPr>
          <w:pgSz w:w="11900" w:h="16838" w:orient="portrait"/>
          <w:cols w:equalWidth="0" w:num="2">
            <w:col w:w="1860" w:space="40"/>
            <w:col w:w="9520"/>
          </w:cols>
          <w:pgMar w:left="240" w:top="130" w:right="239" w:bottom="1440" w:gutter="0" w:footer="0" w:header="0"/>
          <w:type w:val="continuous"/>
        </w:sectPr>
      </w:pPr>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30" w:right="239" w:bottom="1440" w:gutter="0" w:footer="0" w:header="0"/>
          <w:type w:val="continuous"/>
        </w:sectPr>
      </w:pPr>
    </w:p>
    <w:bookmarkStart w:id="92" w:name="page93"/>
    <w:bookmarkEnd w:id="92"/>
    <w:p>
      <w:pPr>
        <w:spacing w:after="0"/>
        <w:tabs>
          <w:tab w:leader="none" w:pos="2380" w:val="left"/>
        </w:tabs>
        <w:rPr>
          <w:sz w:val="20"/>
          <w:szCs w:val="20"/>
          <w:color w:val="auto"/>
        </w:rPr>
      </w:pPr>
      <w:r>
        <w:rPr>
          <w:rFonts w:ascii="Arial" w:cs="Arial" w:eastAsia="Arial" w:hAnsi="Arial"/>
          <w:sz w:val="18"/>
          <w:szCs w:val="18"/>
          <w:color w:val="auto"/>
        </w:rPr>
        <w:t>todd.spencer@crl.com</w:t>
      </w:r>
      <w:r>
        <w:rPr>
          <w:sz w:val="20"/>
          <w:szCs w:val="20"/>
          <w:color w:val="auto"/>
        </w:rPr>
        <w:tab/>
      </w:r>
      <w:r>
        <w:rPr>
          <w:rFonts w:ascii="Arial" w:cs="Arial" w:eastAsia="Arial" w:hAnsi="Arial"/>
          <w:sz w:val="18"/>
          <w:szCs w:val="18"/>
          <w:color w:val="auto"/>
        </w:rPr>
        <w:t>amy.cianciaruso@crl.com</w:t>
      </w:r>
    </w:p>
    <w:p>
      <w:pPr>
        <w:spacing w:after="0" w:line="26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sectPr>
      <w:pgSz w:w="11900" w:h="16838" w:orient="portrait"/>
      <w:cols w:equalWidth="0" w:num="1">
        <w:col w:w="10219"/>
      </w:cols>
      <w:pgMar w:left="24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1)"/>
      <w:numFmt w:val="lowerLetter"/>
      <w:start w:val="2"/>
    </w:lvl>
  </w:abstractNum>
  <w:abstractNum w:abstractNumId="2">
    <w:nsid w:val="47398C89"/>
    <w:multiLevelType w:val="hybridMultilevel"/>
    <w:lvl w:ilvl="0">
      <w:lvlJc w:val="left"/>
      <w:lvlText w:val="%1"/>
      <w:numFmt w:val="lowerLetter"/>
      <w:start w:val="1"/>
    </w:lvl>
    <w:lvl w:ilvl="1">
      <w:lvlJc w:val="left"/>
      <w:lvlText w:val="(%2)"/>
      <w:numFmt w:val="decimal"/>
      <w:start w:val="2"/>
    </w:lvl>
  </w:abstractNum>
  <w:abstractNum w:abstractNumId="3">
    <w:nsid w:val="354FE9F9"/>
    <w:multiLevelType w:val="hybridMultilevel"/>
    <w:lvl w:ilvl="0">
      <w:lvlJc w:val="left"/>
      <w:lvlText w:val="(%1)"/>
      <w:numFmt w:val="lowerLetter"/>
      <w:start w:val="1"/>
    </w:lvl>
    <w:lvl w:ilvl="1">
      <w:lvlJc w:val="left"/>
      <w:lvlText w:val="%2"/>
      <w:numFmt w:val="decimal"/>
      <w:start w:val="1"/>
    </w:lvl>
  </w:abstractNum>
  <w:abstractNum w:abstractNumId="4">
    <w:nsid w:val="15B5AF5C"/>
    <w:multiLevelType w:val="hybridMultilevel"/>
    <w:lvl w:ilvl="0">
      <w:lvlJc w:val="left"/>
      <w:lvlText w:val="(%1)"/>
      <w:numFmt w:val="decimal"/>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1"/>
      <w:numFmt w:val="decimal"/>
      <w:start w:val="1"/>
    </w:lvl>
    <w:lvl w:ilvl="1">
      <w:lvlJc w:val="left"/>
      <w:lvlText w:val="(%2)"/>
      <w:numFmt w:val="decimal"/>
      <w:start w:val="1"/>
    </w:lvl>
  </w:abstractNum>
  <w:abstractNum w:abstractNumId="7">
    <w:nsid w:val="10233C99"/>
    <w:multiLevelType w:val="hybridMultilevel"/>
    <w:lvl w:ilvl="0">
      <w:lvlJc w:val="left"/>
      <w:lvlText w:val="(%1)"/>
      <w:numFmt w:val="decimal"/>
      <w:start w:val="3"/>
    </w:lvl>
    <w:lvl w:ilvl="1">
      <w:lvlJc w:val="left"/>
      <w:lvlText w:val="(%2)"/>
      <w:numFmt w:val="decimal"/>
      <w:start w:val="6"/>
    </w:lvl>
  </w:abstractNum>
  <w:abstractNum w:abstractNumId="8">
    <w:nsid w:val="3F6AB60F"/>
    <w:multiLevelType w:val="hybridMultilevel"/>
    <w:lvl w:ilvl="0">
      <w:lvlJc w:val="left"/>
      <w:lvlText w:val="(%1)"/>
      <w:numFmt w:val="decimal"/>
      <w:start w:val="8"/>
    </w:lvl>
  </w:abstractNum>
  <w:abstractNum w:abstractNumId="9">
    <w:nsid w:val="61574095"/>
    <w:multiLevelType w:val="hybridMultilevel"/>
    <w:lvl w:ilvl="0">
      <w:lvlJc w:val="left"/>
      <w:lvlText w:val="(%1)"/>
      <w:numFmt w:val="decimal"/>
      <w:start w:val="1"/>
    </w:lvl>
    <w:lvl w:ilvl="1">
      <w:lvlJc w:val="left"/>
      <w:lvlText w:val="(%2)"/>
      <w:numFmt w:val="lowerLetter"/>
      <w:start w:val="1"/>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1)"/>
      <w:numFmt w:val="decimal"/>
      <w:start w:val="11"/>
    </w:lvl>
  </w:abstractNum>
  <w:abstractNum w:abstractNumId="12">
    <w:nsid w:val="579BE4F1"/>
    <w:multiLevelType w:val="hybridMultilevel"/>
    <w:lvl w:ilvl="0">
      <w:lvlJc w:val="left"/>
      <w:lvlText w:val="(%1)"/>
      <w:numFmt w:val="decimal"/>
      <w:start w:val="1"/>
    </w:lvl>
  </w:abstractNum>
  <w:abstractNum w:abstractNumId="13">
    <w:nsid w:val="310C50B3"/>
    <w:multiLevelType w:val="hybridMultilevel"/>
    <w:lvl w:ilvl="0">
      <w:lvlJc w:val="left"/>
      <w:lvlText w:val="(%1)"/>
      <w:numFmt w:val="decimal"/>
      <w:start w:val="4"/>
    </w:lvl>
  </w:abstractNum>
  <w:abstractNum w:abstractNumId="14">
    <w:nsid w:val="5FF87E05"/>
    <w:multiLevelType w:val="hybridMultilevel"/>
    <w:lvl w:ilvl="0">
      <w:lvlJc w:val="left"/>
      <w:lvlText w:val="(%1)"/>
      <w:numFmt w:val="decimal"/>
      <w:start w:val="1"/>
    </w:lvl>
  </w:abstractNum>
  <w:abstractNum w:abstractNumId="15">
    <w:nsid w:val="2F305DEF"/>
    <w:multiLevelType w:val="hybridMultilevel"/>
    <w:lvl w:ilvl="0">
      <w:lvlJc w:val="left"/>
      <w:lvlText w:val="3"/>
      <w:numFmt w:val="bullet"/>
      <w:start w:val="1"/>
    </w:lvl>
  </w:abstractNum>
  <w:abstractNum w:abstractNumId="16">
    <w:nsid w:val="25A70BF7"/>
    <w:multiLevelType w:val="hybridMultilevel"/>
    <w:lvl w:ilvl="0">
      <w:lvlJc w:val="left"/>
      <w:lvlText w:val="4"/>
      <w:numFmt w:val="bullet"/>
      <w:start w:val="1"/>
    </w:lvl>
  </w:abstractNum>
  <w:abstractNum w:abstractNumId="17">
    <w:nsid w:val="1DBABF00"/>
    <w:multiLevelType w:val="hybridMultilevel"/>
    <w:lvl w:ilvl="0">
      <w:lvlJc w:val="left"/>
      <w:lvlText w:val="6"/>
      <w:numFmt w:val="bullet"/>
      <w:start w:val="1"/>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1)"/>
      <w:numFmt w:val="decimal"/>
      <w:start w:val="2"/>
    </w:lvl>
  </w:abstractNum>
  <w:abstractNum w:abstractNumId="20">
    <w:nsid w:val="1381823A"/>
    <w:multiLevelType w:val="hybridMultilevel"/>
    <w:lvl w:ilvl="0">
      <w:lvlJc w:val="left"/>
      <w:lvlText w:val="9"/>
      <w:numFmt w:val="bullet"/>
      <w:start w:val="1"/>
    </w:lvl>
  </w:abstractNum>
  <w:abstractNum w:abstractNumId="21">
    <w:nsid w:val="5DB70AE5"/>
    <w:multiLevelType w:val="hybridMultilevel"/>
    <w:lvl w:ilvl="0">
      <w:lvlJc w:val="left"/>
      <w:lvlText w:val="%1"/>
      <w:numFmt w:val="decimal"/>
      <w:start w:val="10"/>
    </w:lvl>
  </w:abstractNum>
  <w:abstractNum w:abstractNumId="22">
    <w:nsid w:val="100F8FC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3">
    <w:nsid w:val="6590700B"/>
    <w:multiLevelType w:val="hybridMultilevel"/>
    <w:lvl w:ilvl="0">
      <w:lvlJc w:val="left"/>
      <w:lvlText w:val="(%1)"/>
      <w:numFmt w:val="lowerLetter"/>
      <w:start w:val="23"/>
    </w:lvl>
    <w:lvl w:ilvl="1">
      <w:lvlJc w:val="left"/>
      <w:lvlText w:val="(%2)"/>
      <w:numFmt w:val="lowerLetter"/>
      <w:start w:val="1"/>
    </w:lvl>
    <w:lvl w:ilvl="2">
      <w:lvlJc w:val="left"/>
      <w:lvlText w:val="(%3)"/>
      <w:numFmt w:val="decimal"/>
      <w:start w:val="1"/>
    </w:lvl>
  </w:abstractNum>
  <w:abstractNum w:abstractNumId="24">
    <w:nsid w:val="15014ACB"/>
    <w:multiLevelType w:val="hybridMultilevel"/>
    <w:lvl w:ilvl="0">
      <w:lvlJc w:val="left"/>
      <w:lvlText w:val="(%1)"/>
      <w:numFmt w:val="lowerLetter"/>
      <w:start w:val="1"/>
    </w:lvl>
  </w:abstractNum>
  <w:abstractNum w:abstractNumId="25">
    <w:nsid w:val="5F5E7FD0"/>
    <w:multiLevelType w:val="hybridMultilevel"/>
    <w:lvl w:ilvl="0">
      <w:lvlJc w:val="left"/>
      <w:lvlText w:val="(%1)"/>
      <w:numFmt w:val="decimal"/>
      <w:start w:val="1"/>
    </w:lvl>
  </w:abstractNum>
  <w:abstractNum w:abstractNumId="26">
    <w:nsid w:val="98A3148"/>
    <w:multiLevelType w:val="hybridMultilevel"/>
    <w:lvl w:ilvl="0">
      <w:lvlJc w:val="left"/>
      <w:lvlText w:val="(%1)"/>
      <w:numFmt w:val="decimal"/>
      <w:start w:val="1"/>
    </w:lvl>
  </w:abstractNum>
  <w:abstractNum w:abstractNumId="27">
    <w:nsid w:val="799D0247"/>
    <w:multiLevelType w:val="hybridMultilevel"/>
    <w:lvl w:ilvl="0">
      <w:lvlJc w:val="left"/>
      <w:lvlText w:val="(%1)"/>
      <w:numFmt w:val="decimal"/>
      <w:start w:val="1"/>
    </w:lvl>
  </w:abstractNum>
  <w:abstractNum w:abstractNumId="28">
    <w:nsid w:val="6B94764"/>
    <w:multiLevelType w:val="hybridMultilevel"/>
    <w:lvl w:ilvl="0">
      <w:lvlJc w:val="left"/>
      <w:lvlText w:val="(%1)"/>
      <w:numFmt w:val="decimal"/>
      <w:start w:val="3"/>
    </w:lvl>
    <w:lvl w:ilvl="1">
      <w:lvlJc w:val="left"/>
      <w:lvlText w:val="(%2)"/>
      <w:numFmt w:val="lowerLetter"/>
      <w:start w:val="1"/>
    </w:lvl>
  </w:abstractNum>
  <w:abstractNum w:abstractNumId="29">
    <w:nsid w:val="42C296BD"/>
    <w:multiLevelType w:val="hybridMultilevel"/>
    <w:lvl w:ilvl="0">
      <w:lvlJc w:val="left"/>
      <w:lvlText w:val="%1"/>
      <w:numFmt w:val="decimal"/>
      <w:start w:val="1"/>
    </w:lvl>
    <w:lvl w:ilvl="1">
      <w:lvlJc w:val="left"/>
      <w:lvlText w:val="(%2)"/>
      <w:numFmt w:val="decimal"/>
      <w:start w:val="1"/>
    </w:lvl>
  </w:abstractNum>
  <w:abstractNum w:abstractNumId="30">
    <w:nsid w:val="168E121F"/>
    <w:multiLevelType w:val="hybridMultilevel"/>
    <w:lvl w:ilvl="0">
      <w:lvlJc w:val="left"/>
      <w:lvlText w:val="(%1)"/>
      <w:numFmt w:val="decimal"/>
      <w:start w:val="7"/>
    </w:lvl>
    <w:lvl w:ilvl="1">
      <w:lvlJc w:val="left"/>
      <w:lvlText w:val="(%2)"/>
      <w:numFmt w:val="decimal"/>
      <w:start w:val="9"/>
    </w:lvl>
  </w:abstractNum>
  <w:abstractNum w:abstractNumId="31">
    <w:nsid w:val="1EBA5D23"/>
    <w:multiLevelType w:val="hybridMultilevel"/>
    <w:lvl w:ilvl="0">
      <w:lvlJc w:val="left"/>
      <w:lvlText w:val="(%1)"/>
      <w:numFmt w:val="decimal"/>
      <w:start w:val="11"/>
    </w:lvl>
  </w:abstractNum>
  <w:abstractNum w:abstractNumId="32">
    <w:nsid w:val="661E3F1E"/>
    <w:multiLevelType w:val="hybridMultilevel"/>
    <w:lvl w:ilvl="0">
      <w:lvlJc w:val="left"/>
      <w:lvlText w:val="(%1)"/>
      <w:numFmt w:val="decimal"/>
      <w:start w:val="1"/>
    </w:lvl>
  </w:abstractNum>
  <w:abstractNum w:abstractNumId="33">
    <w:nsid w:val="5DC79EA8"/>
    <w:multiLevelType w:val="hybridMultilevel"/>
    <w:lvl w:ilvl="0">
      <w:lvlJc w:val="left"/>
      <w:lvlText w:val="(%1)"/>
      <w:numFmt w:val="decimal"/>
      <w:start w:val="12"/>
    </w:lvl>
  </w:abstractNum>
  <w:abstractNum w:abstractNumId="34">
    <w:nsid w:val="540A471C"/>
    <w:multiLevelType w:val="hybridMultilevel"/>
    <w:lvl w:ilvl="0">
      <w:lvlJc w:val="left"/>
      <w:lvlText w:val="%1"/>
      <w:numFmt w:val="decimal"/>
      <w:start w:val="12"/>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1)"/>
      <w:numFmt w:val="lowerLetter"/>
      <w:start w:val="1"/>
    </w:lvl>
  </w:abstractNum>
  <w:abstractNum w:abstractNumId="37">
    <w:nsid w:val="613EFDC5"/>
    <w:multiLevelType w:val="hybridMultilevel"/>
    <w:lvl w:ilvl="0">
      <w:lvlJc w:val="left"/>
      <w:lvlText w:val="(%1)"/>
      <w:numFmt w:val="lowerLetter"/>
      <w:start w:val="1"/>
    </w:lvl>
  </w:abstractNum>
  <w:abstractNum w:abstractNumId="38">
    <w:nsid w:val="BF72B14"/>
    <w:multiLevelType w:val="hybridMultilevel"/>
    <w:lvl w:ilvl="0">
      <w:lvlJc w:val="left"/>
      <w:lvlText w:val="(%1)"/>
      <w:numFmt w:val="lowerLetter"/>
      <w:start w:val="1"/>
    </w:lvl>
    <w:lvl w:ilvl="1">
      <w:lvlJc w:val="left"/>
      <w:lvlText w:val="(%2)"/>
      <w:numFmt w:val="decimal"/>
      <w:start w:val="1"/>
    </w:lvl>
  </w:abstractNum>
  <w:abstractNum w:abstractNumId="39">
    <w:nsid w:val="11447B73"/>
    <w:multiLevelType w:val="hybridMultilevel"/>
    <w:lvl w:ilvl="0">
      <w:lvlJc w:val="left"/>
      <w:lvlText w:val="(%1)"/>
      <w:numFmt w:val="lowerLetter"/>
      <w:start w:val="3"/>
    </w:lvl>
  </w:abstractNum>
  <w:abstractNum w:abstractNumId="40">
    <w:nsid w:val="42963E5A"/>
    <w:multiLevelType w:val="hybridMultilevel"/>
    <w:lvl w:ilvl="0">
      <w:lvlJc w:val="left"/>
      <w:lvlText w:val="(%1)"/>
      <w:numFmt w:val="lowerLetter"/>
      <w:start w:val="5"/>
    </w:lvl>
  </w:abstractNum>
  <w:abstractNum w:abstractNumId="41">
    <w:nsid w:val="A0382C5"/>
    <w:multiLevelType w:val="hybridMultilevel"/>
    <w:lvl w:ilvl="0">
      <w:lvlJc w:val="left"/>
      <w:lvlText w:val="(%1)"/>
      <w:numFmt w:val="lowerLetter"/>
      <w:start w:val="1"/>
    </w:lvl>
  </w:abstractNum>
  <w:abstractNum w:abstractNumId="42">
    <w:nsid w:val="8F2B15E"/>
    <w:multiLevelType w:val="hybridMultilevel"/>
    <w:lvl w:ilvl="0">
      <w:lvlJc w:val="left"/>
      <w:lvlText w:val="(%1)"/>
      <w:numFmt w:val="lowerLetter"/>
      <w:start w:val="4"/>
    </w:lvl>
  </w:abstractNum>
  <w:abstractNum w:abstractNumId="43">
    <w:nsid w:val="1A32234B"/>
    <w:multiLevelType w:val="hybridMultilevel"/>
    <w:lvl w:ilvl="0">
      <w:lvlJc w:val="left"/>
      <w:lvlText w:val="(%1)"/>
      <w:numFmt w:val="lowerLetter"/>
      <w:start w:val="1"/>
    </w:lvl>
  </w:abstractNum>
  <w:abstractNum w:abstractNumId="44">
    <w:nsid w:val="3B0FD379"/>
    <w:multiLevelType w:val="hybridMultilevel"/>
    <w:lvl w:ilvl="0">
      <w:lvlJc w:val="left"/>
      <w:lvlText w:val="(%1)"/>
      <w:numFmt w:val="lowerLetter"/>
      <w:start w:val="1"/>
    </w:lvl>
    <w:lvl w:ilvl="1">
      <w:lvlJc w:val="left"/>
      <w:lvlText w:val="(%2)"/>
      <w:numFmt w:val="decimal"/>
      <w:start w:val="1"/>
    </w:lvl>
  </w:abstractNum>
  <w:abstractNum w:abstractNumId="45">
    <w:nsid w:val="68EB2F63"/>
    <w:multiLevelType w:val="hybridMultilevel"/>
    <w:lvl w:ilvl="0">
      <w:lvlJc w:val="left"/>
      <w:lvlText w:val="(%1)"/>
      <w:numFmt w:val="lowerLetter"/>
      <w:start w:val="3"/>
    </w:lvl>
    <w:lvl w:ilvl="1">
      <w:lvlJc w:val="left"/>
      <w:lvlText w:val="(%2)"/>
      <w:numFmt w:val="decimal"/>
      <w:start w:val="1"/>
    </w:lvl>
  </w:abstractNum>
  <w:abstractNum w:abstractNumId="46">
    <w:nsid w:val="4962813B"/>
    <w:multiLevelType w:val="hybridMultilevel"/>
    <w:lvl w:ilvl="0">
      <w:lvlJc w:val="left"/>
      <w:lvlText w:val="%1"/>
      <w:numFmt w:val="lowerLetter"/>
      <w:start w:val="1"/>
    </w:lvl>
    <w:lvl w:ilvl="1">
      <w:lvlJc w:val="left"/>
      <w:lvlText w:val="(%2)"/>
      <w:numFmt w:val="decimal"/>
      <w:start w:val="2"/>
    </w:lvl>
  </w:abstractNum>
  <w:abstractNum w:abstractNumId="47">
    <w:nsid w:val="60B6DF70"/>
    <w:multiLevelType w:val="hybridMultilevel"/>
    <w:lvl w:ilvl="0">
      <w:lvlJc w:val="left"/>
      <w:lvlText w:val="(%1)"/>
      <w:numFmt w:val="lowerLetter"/>
      <w:start w:val="4"/>
    </w:lvl>
    <w:lvl w:ilvl="1">
      <w:lvlJc w:val="left"/>
      <w:lvlText w:val="%2"/>
      <w:numFmt w:val="decimal"/>
      <w:start w:val="1"/>
    </w:lvl>
  </w:abstractNum>
  <w:abstractNum w:abstractNumId="48">
    <w:nsid w:val="6A5EE64"/>
    <w:multiLevelType w:val="hybridMultilevel"/>
    <w:lvl w:ilvl="0">
      <w:lvlJc w:val="left"/>
      <w:lvlText w:val="(%1)"/>
      <w:numFmt w:val="lowerLetter"/>
      <w:start w:val="1"/>
    </w:lvl>
  </w:abstractNum>
  <w:abstractNum w:abstractNumId="49">
    <w:nsid w:val="14330624"/>
    <w:multiLevelType w:val="hybridMultilevel"/>
    <w:lvl w:ilvl="0">
      <w:lvlJc w:val="left"/>
      <w:lvlText w:val="(%1)"/>
      <w:numFmt w:val="lowerLetter"/>
      <w:start w:val="1"/>
    </w:lvl>
    <w:lvl w:ilvl="1">
      <w:lvlJc w:val="left"/>
      <w:lvlText w:val="(%2)"/>
      <w:numFmt w:val="decimal"/>
      <w:start w:val="1"/>
    </w:lvl>
  </w:abstractNum>
  <w:abstractNum w:abstractNumId="50">
    <w:nsid w:val="7FFFCA1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51">
    <w:nsid w:val="1A27709E"/>
    <w:multiLevelType w:val="hybridMultilevel"/>
    <w:lvl w:ilvl="0">
      <w:lvlJc w:val="left"/>
      <w:lvlText w:val="%1"/>
      <w:numFmt w:val="lowerLetter"/>
      <w:start w:val="1"/>
    </w:lvl>
    <w:lvl w:ilvl="1">
      <w:lvlJc w:val="left"/>
      <w:lvlText w:val="(%2)"/>
      <w:numFmt w:val="decimal"/>
      <w:start w:val="2"/>
    </w:lvl>
  </w:abstractNum>
  <w:abstractNum w:abstractNumId="52">
    <w:nsid w:val="71EA1109"/>
    <w:multiLevelType w:val="hybridMultilevel"/>
    <w:lvl w:ilvl="0">
      <w:lvlJc w:val="left"/>
      <w:lvlText w:val="(%1)"/>
      <w:numFmt w:val="lowerLetter"/>
      <w:start w:val="2"/>
    </w:lvl>
    <w:lvl w:ilvl="1">
      <w:lvlJc w:val="left"/>
      <w:lvlText w:val="(%2)"/>
      <w:numFmt w:val="decimal"/>
      <w:start w:val="1"/>
    </w:lvl>
  </w:abstractNum>
  <w:abstractNum w:abstractNumId="53">
    <w:nsid w:val="100F59DC"/>
    <w:multiLevelType w:val="hybridMultilevel"/>
    <w:lvl w:ilvl="0">
      <w:lvlJc w:val="left"/>
      <w:lvlText w:val="(%1)"/>
      <w:numFmt w:val="decimal"/>
      <w:start w:val="1"/>
    </w:lvl>
  </w:abstractNum>
  <w:abstractNum w:abstractNumId="54">
    <w:nsid w:val="7FB7E0AA"/>
    <w:multiLevelType w:val="hybridMultilevel"/>
    <w:lvl w:ilvl="0">
      <w:lvlJc w:val="left"/>
      <w:lvlText w:val="(%1)"/>
      <w:numFmt w:val="decimal"/>
      <w:start w:val="3"/>
    </w:lvl>
    <w:lvl w:ilvl="1">
      <w:lvlJc w:val="left"/>
      <w:lvlText w:val="(%2)"/>
      <w:numFmt w:val="lowerLetter"/>
      <w:start w:val="1"/>
    </w:lvl>
  </w:abstractNum>
  <w:abstractNum w:abstractNumId="55">
    <w:nsid w:val="6EB5BD4"/>
    <w:multiLevelType w:val="hybridMultilevel"/>
    <w:lvl w:ilvl="0">
      <w:lvlJc w:val="left"/>
      <w:lvlText w:val="(%1)"/>
      <w:numFmt w:val="decimal"/>
      <w:start w:val="7"/>
    </w:lvl>
    <w:lvl w:ilvl="1">
      <w:lvlJc w:val="left"/>
      <w:lvlText w:val="(%2)"/>
      <w:numFmt w:val="lowerLetter"/>
      <w:start w:val="1"/>
    </w:lvl>
  </w:abstractNum>
  <w:abstractNum w:abstractNumId="56">
    <w:nsid w:val="6F6DD9AC"/>
    <w:multiLevelType w:val="hybridMultilevel"/>
    <w:lvl w:ilvl="0">
      <w:lvlJc w:val="left"/>
      <w:lvlText w:val="(%1)"/>
      <w:numFmt w:val="decimal"/>
      <w:start w:val="9"/>
    </w:lvl>
    <w:lvl w:ilvl="1">
      <w:lvlJc w:val="left"/>
      <w:lvlText w:val="(%2)"/>
      <w:numFmt w:val="lowerLetter"/>
      <w:start w:val="1"/>
    </w:lvl>
  </w:abstractNum>
  <w:abstractNum w:abstractNumId="57">
    <w:nsid w:val="94211F2"/>
    <w:multiLevelType w:val="hybridMultilevel"/>
    <w:lvl w:ilvl="0">
      <w:lvlJc w:val="left"/>
      <w:lvlText w:val="(%1)"/>
      <w:numFmt w:val="decimal"/>
      <w:start w:val="1"/>
    </w:lvl>
  </w:abstractNum>
  <w:abstractNum w:abstractNumId="58">
    <w:nsid w:val="885E1B"/>
    <w:multiLevelType w:val="hybridMultilevel"/>
    <w:lvl w:ilvl="0">
      <w:lvlJc w:val="left"/>
      <w:lvlText w:val="(%1)"/>
      <w:numFmt w:val="decimal"/>
      <w:start w:val="1"/>
    </w:lvl>
  </w:abstractNum>
  <w:abstractNum w:abstractNumId="59">
    <w:nsid w:val="76272110"/>
    <w:multiLevelType w:val="hybridMultilevel"/>
    <w:lvl w:ilvl="0">
      <w:lvlJc w:val="left"/>
      <w:lvlText w:val="(%1)"/>
      <w:numFmt w:val="decimal"/>
      <w:start w:val="1"/>
    </w:lvl>
    <w:lvl w:ilvl="1">
      <w:lvlJc w:val="left"/>
      <w:lvlText w:val="(%2)"/>
      <w:numFmt w:val="upperLetter"/>
      <w:start w:val="1"/>
    </w:lvl>
  </w:abstractNum>
  <w:abstractNum w:abstractNumId="60">
    <w:nsid w:val="4C04A8AF"/>
    <w:multiLevelType w:val="hybridMultilevel"/>
    <w:lvl w:ilvl="0">
      <w:lvlJc w:val="left"/>
      <w:lvlText w:val="(%1)"/>
      <w:numFmt w:val="decimal"/>
      <w:start w:val="3"/>
    </w:lvl>
  </w:abstractNum>
  <w:abstractNum w:abstractNumId="61">
    <w:nsid w:val="1716703B"/>
    <w:multiLevelType w:val="hybridMultilevel"/>
    <w:lvl w:ilvl="0">
      <w:lvlJc w:val="left"/>
      <w:lvlText w:val="(%1)"/>
      <w:numFmt w:val="decimal"/>
      <w:start w:val="5"/>
    </w:lvl>
  </w:abstractNum>
  <w:abstractNum w:abstractNumId="62">
    <w:nsid w:val="14E17E33"/>
    <w:multiLevelType w:val="hybridMultilevel"/>
    <w:lvl w:ilvl="0">
      <w:lvlJc w:val="left"/>
      <w:lvlText w:val="%1"/>
      <w:numFmt w:val="decimal"/>
      <w:start w:val="1"/>
    </w:lvl>
    <w:lvl w:ilvl="1">
      <w:lvlJc w:val="left"/>
      <w:lvlText w:val="(%2)"/>
      <w:numFmt w:val="lowerLetter"/>
      <w:start w:val="1"/>
    </w:lvl>
  </w:abstractNum>
  <w:abstractNum w:abstractNumId="63">
    <w:nsid w:val="3222E7CD"/>
    <w:multiLevelType w:val="hybridMultilevel"/>
    <w:lvl w:ilvl="0">
      <w:lvlJc w:val="left"/>
      <w:lvlText w:val="(%1)"/>
      <w:numFmt w:val="decimal"/>
      <w:start w:val="2"/>
    </w:lvl>
    <w:lvl w:ilvl="1">
      <w:lvlJc w:val="left"/>
      <w:lvlText w:val="%2"/>
      <w:numFmt w:val="lowerLetter"/>
      <w:start w:val="1"/>
    </w:lvl>
  </w:abstractNum>
  <w:abstractNum w:abstractNumId="64">
    <w:nsid w:val="74DE0EE3"/>
    <w:multiLevelType w:val="hybridMultilevel"/>
    <w:lvl w:ilvl="0">
      <w:lvlJc w:val="left"/>
      <w:lvlText w:val="(%1)"/>
      <w:numFmt w:val="decimal"/>
      <w:start w:val="4"/>
    </w:lvl>
  </w:abstractNum>
  <w:abstractNum w:abstractNumId="65">
    <w:nsid w:val="68EBC550"/>
    <w:multiLevelType w:val="hybridMultilevel"/>
    <w:lvl w:ilvl="0">
      <w:lvlJc w:val="left"/>
      <w:lvlText w:val="(%1)"/>
      <w:numFmt w:val="decimal"/>
      <w:start w:val="1"/>
    </w:lvl>
  </w:abstractNum>
  <w:abstractNum w:abstractNumId="66">
    <w:nsid w:val="2DF6D648"/>
    <w:multiLevelType w:val="hybridMultilevel"/>
    <w:lvl w:ilvl="0">
      <w:lvlJc w:val="left"/>
      <w:lvlText w:val="(%1)"/>
      <w:numFmt w:val="lowerLetter"/>
      <w:start w:val="2"/>
    </w:lvl>
  </w:abstractNum>
  <w:abstractNum w:abstractNumId="67">
    <w:nsid w:val="46B7D447"/>
    <w:multiLevelType w:val="hybridMultilevel"/>
    <w:lvl w:ilvl="0">
      <w:lvlJc w:val="left"/>
      <w:lvlText w:val="(%1)"/>
      <w:numFmt w:val="lowerLetter"/>
      <w:start w:val="1"/>
    </w:lvl>
  </w:abstractNum>
  <w:abstractNum w:abstractNumId="68">
    <w:nsid w:val="4A2AC315"/>
    <w:multiLevelType w:val="hybridMultilevel"/>
    <w:lvl w:ilvl="0">
      <w:lvlJc w:val="left"/>
      <w:lvlText w:val="(%1)"/>
      <w:numFmt w:val="lowerLetter"/>
      <w:start w:val="2"/>
    </w:lvl>
  </w:abstractNum>
  <w:abstractNum w:abstractNumId="69">
    <w:nsid w:val="39EE015C"/>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70">
    <w:nsid w:val="57FC4FBB"/>
    <w:multiLevelType w:val="hybridMultilevel"/>
    <w:lvl w:ilvl="0">
      <w:lvlJc w:val="left"/>
      <w:lvlText w:val="(%1)"/>
      <w:numFmt w:val="decimal"/>
      <w:start w:val="2"/>
    </w:lvl>
  </w:abstractNum>
  <w:abstractNum w:abstractNumId="71">
    <w:nsid w:val="CC1016F"/>
    <w:multiLevelType w:val="hybridMultilevel"/>
    <w:lvl w:ilvl="0">
      <w:lvlJc w:val="left"/>
      <w:lvlText w:val="%1"/>
      <w:numFmt w:val="decimal"/>
      <w:start w:val="14"/>
    </w:lvl>
  </w:abstractNum>
  <w:abstractNum w:abstractNumId="72">
    <w:nsid w:val="43F18422"/>
    <w:multiLevelType w:val="hybridMultilevel"/>
    <w:lvl w:ilvl="0">
      <w:lvlJc w:val="left"/>
      <w:lvlText w:val="(%1)"/>
      <w:numFmt w:val="lowerLetter"/>
      <w:start w:val="1"/>
    </w:lvl>
  </w:abstractNum>
  <w:abstractNum w:abstractNumId="73">
    <w:nsid w:val="60EF0119"/>
    <w:multiLevelType w:val="hybridMultilevel"/>
    <w:lvl w:ilvl="0">
      <w:lvlJc w:val="left"/>
      <w:lvlText w:val="(%1)"/>
      <w:numFmt w:val="lowerLetter"/>
      <w:start w:val="1"/>
    </w:lvl>
  </w:abstractNum>
  <w:abstractNum w:abstractNumId="74">
    <w:nsid w:val="26F324BA"/>
    <w:multiLevelType w:val="hybridMultilevel"/>
    <w:lvl w:ilvl="0">
      <w:lvlJc w:val="left"/>
      <w:lvlText w:val="%1."/>
      <w:numFmt w:val="decimal"/>
      <w:start w:val="1"/>
    </w:lvl>
  </w:abstractNum>
  <w:abstractNum w:abstractNumId="75">
    <w:nsid w:val="7F01579B"/>
    <w:multiLevelType w:val="hybridMultilevel"/>
    <w:lvl w:ilvl="0">
      <w:lvlJc w:val="left"/>
      <w:lvlText w:val="%1."/>
      <w:numFmt w:val="decimal"/>
      <w:start w:val="2"/>
    </w:lvl>
  </w:abstractNum>
  <w:abstractNum w:abstractNumId="76">
    <w:nsid w:val="49DA307D"/>
    <w:multiLevelType w:val="hybridMultilevel"/>
    <w:lvl w:ilvl="0">
      <w:lvlJc w:val="left"/>
      <w:lvlText w:val="%1"/>
      <w:numFmt w:val="lowerLetter"/>
      <w:start w:val="1"/>
    </w:lvl>
    <w:lvl w:ilvl="1">
      <w:lvlJc w:val="left"/>
      <w:lvlText w:val="(%2)"/>
      <w:numFmt w:val="lowerLetter"/>
      <w:start w:val="1"/>
    </w:lvl>
  </w:abstractNum>
  <w:abstractNum w:abstractNumId="77">
    <w:nsid w:val="7055A5F5"/>
    <w:multiLevelType w:val="hybridMultilevel"/>
    <w:lvl w:ilvl="0">
      <w:lvlJc w:val="left"/>
      <w:lvlText w:val="(%1)"/>
      <w:numFmt w:val="lowerLetter"/>
      <w:start w:val="35"/>
    </w:lvl>
    <w:lvl w:ilvl="1">
      <w:lvlJc w:val="left"/>
      <w:lvlText w:val="(%2)"/>
      <w:numFmt w:val="lowerLetter"/>
      <w:start w:val="2"/>
    </w:lvl>
  </w:abstractNum>
  <w:abstractNum w:abstractNumId="78">
    <w:nsid w:val="5FB8370B"/>
    <w:multiLevelType w:val="hybridMultilevel"/>
    <w:lvl w:ilvl="0">
      <w:lvlJc w:val="left"/>
      <w:lvlText w:val="(%1)"/>
      <w:numFmt w:val="lowerLetter"/>
      <w:start w:val="4"/>
    </w:lvl>
  </w:abstractNum>
  <w:abstractNum w:abstractNumId="79">
    <w:nsid w:val="50801EE1"/>
    <w:multiLevelType w:val="hybridMultilevel"/>
    <w:lvl w:ilvl="0">
      <w:lvlJc w:val="left"/>
      <w:lvlText w:val="(%1)"/>
      <w:numFmt w:val="lowerLetter"/>
      <w:start w:val="1"/>
    </w:lvl>
  </w:abstractNum>
  <w:abstractNum w:abstractNumId="80">
    <w:nsid w:val="488AC1A"/>
    <w:multiLevelType w:val="hybridMultilevel"/>
    <w:lvl w:ilvl="0">
      <w:lvlJc w:val="left"/>
      <w:lvlText w:val="(%1)"/>
      <w:numFmt w:val="lowerLetter"/>
      <w:start w:val="9"/>
    </w:lvl>
  </w:abstractNum>
  <w:abstractNum w:abstractNumId="81">
    <w:nsid w:val="5FB8011C"/>
    <w:multiLevelType w:val="hybridMultilevel"/>
    <w:lvl w:ilvl="0">
      <w:lvlJc w:val="left"/>
      <w:lvlText w:val="(%1)"/>
      <w:numFmt w:val="lowerLetter"/>
      <w:start w:val="35"/>
    </w:lvl>
  </w:abstractNum>
  <w:abstractNum w:abstractNumId="82">
    <w:nsid w:val="6AA78F7F"/>
    <w:multiLevelType w:val="hybridMultilevel"/>
    <w:lvl w:ilvl="0">
      <w:lvlJc w:val="left"/>
      <w:lvlText w:val="(%1)"/>
      <w:numFmt w:val="decimal"/>
      <w:start w:val="1"/>
    </w:lvl>
    <w:lvl w:ilvl="1">
      <w:lvlJc w:val="left"/>
      <w:lvlText w:val="(%2)"/>
      <w:numFmt w:val="upperLetter"/>
      <w:start w:val="1"/>
    </w:lvl>
  </w:abstractNum>
  <w:abstractNum w:abstractNumId="83">
    <w:nsid w:val="7672BD23"/>
    <w:multiLevelType w:val="hybridMultilevel"/>
    <w:lvl w:ilvl="0">
      <w:lvlJc w:val="left"/>
      <w:lvlText w:val="(%1)"/>
      <w:numFmt w:val="lowerLetter"/>
      <w:start w:val="2"/>
    </w:lvl>
  </w:abstractNum>
  <w:abstractNum w:abstractNumId="84">
    <w:nsid w:val="6FC75AF8"/>
    <w:multiLevelType w:val="hybridMultilevel"/>
    <w:lvl w:ilvl="0">
      <w:lvlJc w:val="left"/>
      <w:lvlText w:val="(%1)"/>
      <w:numFmt w:val="lowerRoman"/>
      <w:start w:val="1"/>
    </w:lvl>
  </w:abstractNum>
  <w:abstractNum w:abstractNumId="85">
    <w:nsid w:val="6A5F7029"/>
    <w:multiLevelType w:val="hybridMultilevel"/>
    <w:lvl w:ilvl="0">
      <w:lvlJc w:val="left"/>
      <w:lvlText w:val="(%1)"/>
      <w:numFmt w:val="lowerRoman"/>
      <w:start w:val="2"/>
    </w:lvl>
  </w:abstractNum>
  <w:abstractNum w:abstractNumId="86">
    <w:nsid w:val="7D5E18F8"/>
    <w:multiLevelType w:val="hybridMultilevel"/>
    <w:lvl w:ilvl="0">
      <w:lvlJc w:val="left"/>
      <w:lvlText w:val="(%1)"/>
      <w:numFmt w:val="lowerLetter"/>
      <w:start w:val="3"/>
    </w:lvl>
  </w:abstractNum>
  <w:abstractNum w:abstractNumId="87">
    <w:nsid w:val="5F3534A4"/>
    <w:multiLevelType w:val="hybridMultilevel"/>
    <w:lvl w:ilvl="0">
      <w:lvlJc w:val="left"/>
      <w:lvlText w:val="(%1)"/>
      <w:numFmt w:val="lowerRoman"/>
      <w:start w:val="2"/>
    </w:lvl>
  </w:abstractNum>
  <w:abstractNum w:abstractNumId="88">
    <w:nsid w:val="73A1821B"/>
    <w:multiLevelType w:val="hybridMultilevel"/>
    <w:lvl w:ilvl="0">
      <w:lvlJc w:val="left"/>
      <w:lvlText w:val="(%1)"/>
      <w:numFmt w:val="lowerLetter"/>
      <w:start w:val="4"/>
    </w:lvl>
  </w:abstractNum>
  <w:abstractNum w:abstractNumId="89">
    <w:nsid w:val="7DE67713"/>
    <w:multiLevelType w:val="hybridMultilevel"/>
    <w:lvl w:ilvl="0">
      <w:lvlJc w:val="left"/>
      <w:lvlText w:val="(%1)"/>
      <w:numFmt w:val="decimal"/>
      <w:start w:val="4"/>
    </w:lvl>
  </w:abstractNum>
  <w:abstractNum w:abstractNumId="90">
    <w:nsid w:val="555C55B5"/>
    <w:multiLevelType w:val="hybridMultilevel"/>
    <w:lvl w:ilvl="0">
      <w:lvlJc w:val="left"/>
      <w:lvlText w:val="(%1)"/>
      <w:numFmt w:val="lowerRoman"/>
      <w:start w:val="2"/>
    </w:lvl>
  </w:abstractNum>
  <w:abstractNum w:abstractNumId="91">
    <w:nsid w:val="3FA62ACA"/>
    <w:multiLevelType w:val="hybridMultilevel"/>
    <w:lvl w:ilvl="0">
      <w:lvlJc w:val="left"/>
      <w:lvlText w:val="(%1)"/>
      <w:numFmt w:val="lowerLetter"/>
      <w:start w:val="5"/>
    </w:lvl>
  </w:abstractNum>
  <w:abstractNum w:abstractNumId="92">
    <w:nsid w:val="14FCE74E"/>
    <w:multiLevelType w:val="hybridMultilevel"/>
    <w:lvl w:ilvl="0">
      <w:lvlJc w:val="left"/>
      <w:lvlText w:val="(%1)"/>
      <w:numFmt w:val="lowerRoman"/>
      <w:start w:val="1"/>
    </w:lvl>
  </w:abstractNum>
  <w:abstractNum w:abstractNumId="93">
    <w:nsid w:val="6A3DD3E8"/>
    <w:multiLevelType w:val="hybridMultilevel"/>
    <w:lvl w:ilvl="0">
      <w:lvlJc w:val="left"/>
      <w:lvlText w:val="(%1)"/>
      <w:numFmt w:val="lowerRoman"/>
      <w:start w:val="2"/>
    </w:lvl>
  </w:abstractNum>
  <w:abstractNum w:abstractNumId="94">
    <w:nsid w:val="71C91298"/>
    <w:multiLevelType w:val="hybridMultilevel"/>
    <w:lvl w:ilvl="0">
      <w:lvlJc w:val="left"/>
      <w:lvlText w:val="(%1)"/>
      <w:numFmt w:val="lowerLetter"/>
      <w:start w:val="6"/>
    </w:lvl>
  </w:abstractNum>
  <w:abstractNum w:abstractNumId="95">
    <w:nsid w:val="9DAF632"/>
    <w:multiLevelType w:val="hybridMultilevel"/>
    <w:lvl w:ilvl="0">
      <w:lvlJc w:val="left"/>
      <w:lvlText w:val="(%1)"/>
      <w:numFmt w:val="lowerRoman"/>
      <w:start w:val="1"/>
    </w:lvl>
  </w:abstractNum>
  <w:abstractNum w:abstractNumId="96">
    <w:nsid w:val="53299938"/>
    <w:multiLevelType w:val="hybridMultilevel"/>
    <w:lvl w:ilvl="0">
      <w:lvlJc w:val="left"/>
      <w:lvlText w:val="(%1)"/>
      <w:numFmt w:val="lowerLetter"/>
      <w:start w:val="8"/>
    </w:lvl>
  </w:abstractNum>
  <w:abstractNum w:abstractNumId="97">
    <w:nsid w:val="1FBFE8E0"/>
    <w:multiLevelType w:val="hybridMultilevel"/>
    <w:lvl w:ilvl="0">
      <w:lvlJc w:val="left"/>
      <w:lvlText w:val="(%1)"/>
      <w:numFmt w:val="lowerRoman"/>
      <w:start w:val="2"/>
    </w:lvl>
  </w:abstractNum>
  <w:abstractNum w:abstractNumId="98">
    <w:nsid w:val="5092CA79"/>
    <w:multiLevelType w:val="hybridMultilevel"/>
    <w:lvl w:ilvl="0">
      <w:lvlJc w:val="left"/>
      <w:lvlText w:val="(%1)"/>
      <w:numFmt w:val="lowerLetter"/>
      <w:start w:val="1"/>
    </w:lvl>
  </w:abstractNum>
  <w:abstractNum w:abstractNumId="99">
    <w:nsid w:val="1D545C4D"/>
    <w:multiLevelType w:val="hybridMultilevel"/>
    <w:lvl w:ilvl="0">
      <w:lvlJc w:val="left"/>
      <w:lvlText w:val="(%1)"/>
      <w:numFmt w:val="upperLetter"/>
      <w:start w:val="3"/>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1)"/>
      <w:numFmt w:val="decimal"/>
      <w:start w:val="2"/>
    </w:lvl>
  </w:abstractNum>
  <w:abstractNum w:abstractNumId="102">
    <w:nsid w:val="2A155DBC"/>
    <w:multiLevelType w:val="hybridMultilevel"/>
    <w:lvl w:ilvl="0">
      <w:lvlJc w:val="left"/>
      <w:lvlText w:val="(%1)"/>
      <w:numFmt w:val="decimal"/>
      <w:start w:val="5"/>
    </w:lvl>
    <w:lvl w:ilvl="1">
      <w:lvlJc w:val="left"/>
      <w:lvlText w:val="(%2)"/>
      <w:numFmt w:val="lowerLetter"/>
      <w:start w:val="1"/>
    </w:lvl>
  </w:abstractNum>
  <w:abstractNum w:abstractNumId="103">
    <w:nsid w:val="1D9F6E5F"/>
    <w:multiLevelType w:val="hybridMultilevel"/>
    <w:lvl w:ilvl="0">
      <w:lvlJc w:val="left"/>
      <w:lvlText w:val="(%1)"/>
      <w:numFmt w:val="upperLetter"/>
      <w:start w:val="1"/>
    </w:lvl>
  </w:abstractNum>
  <w:abstractNum w:abstractNumId="104">
    <w:nsid w:val="97E1B4E"/>
    <w:multiLevelType w:val="hybridMultilevel"/>
    <w:lvl w:ilvl="0">
      <w:lvlJc w:val="left"/>
      <w:lvlText w:val="(%1)"/>
      <w:numFmt w:val="lowerLetter"/>
      <w:start w:val="2"/>
    </w:lvl>
  </w:abstractNum>
  <w:abstractNum w:abstractNumId="105">
    <w:nsid w:val="51088277"/>
    <w:multiLevelType w:val="hybridMultilevel"/>
    <w:lvl w:ilvl="0">
      <w:lvlJc w:val="left"/>
      <w:lvlText w:val="(%1)"/>
      <w:numFmt w:val="decimal"/>
      <w:start w:val="6"/>
    </w:lvl>
  </w:abstractNum>
  <w:abstractNum w:abstractNumId="106">
    <w:nsid w:val="1CA0C5FA"/>
    <w:multiLevelType w:val="hybridMultilevel"/>
    <w:lvl w:ilvl="0">
      <w:lvlJc w:val="left"/>
      <w:lvlText w:val="(%1)"/>
      <w:numFmt w:val="decimal"/>
      <w:start w:val="9"/>
    </w:lvl>
  </w:abstractNum>
  <w:abstractNum w:abstractNumId="107">
    <w:nsid w:val="53584BCB"/>
    <w:multiLevelType w:val="hybridMultilevel"/>
    <w:lvl w:ilvl="0">
      <w:lvlJc w:val="left"/>
      <w:lvlText w:val="(%1)"/>
      <w:numFmt w:val="decimal"/>
      <w:start w:val="18"/>
    </w:lvl>
  </w:abstractNum>
  <w:abstractNum w:abstractNumId="108">
    <w:nsid w:val="415E286C"/>
    <w:multiLevelType w:val="hybridMultilevel"/>
    <w:lvl w:ilvl="0">
      <w:lvlJc w:val="left"/>
      <w:lvlText w:val="*"/>
      <w:numFmt w:val="bullet"/>
      <w:start w:val="1"/>
    </w:lvl>
  </w:abstractNum>
  <w:abstractNum w:abstractNumId="109">
    <w:nsid w:val="7C58FD05"/>
    <w:multiLevelType w:val="hybridMultilevel"/>
    <w:lvl w:ilvl="0">
      <w:lvlJc w:val="left"/>
      <w:lvlText w:val="(%1)"/>
      <w:numFmt w:val="decimal"/>
      <w:start w:val="1"/>
    </w:lvl>
  </w:abstractNum>
  <w:abstractNum w:abstractNumId="110">
    <w:nsid w:val="23D86AAC"/>
    <w:multiLevelType w:val="hybridMultilevel"/>
    <w:lvl w:ilvl="0">
      <w:lvlJc w:val="left"/>
      <w:lvlText w:val="*"/>
      <w:numFmt w:val="bullet"/>
      <w:start w:val="1"/>
    </w:lvl>
  </w:abstractNum>
  <w:abstractNum w:abstractNumId="111">
    <w:nsid w:val="45E6D486"/>
    <w:multiLevelType w:val="hybridMultilevel"/>
    <w:lvl w:ilvl="0">
      <w:lvlJc w:val="left"/>
      <w:lvlText w:val="%1."/>
      <w:numFmt w:val="decimal"/>
      <w:start w:val="1"/>
    </w:lvl>
  </w:abstractNum>
  <w:abstractNum w:abstractNumId="112">
    <w:nsid w:val="5C10FE21"/>
    <w:multiLevelType w:val="hybridMultilevel"/>
    <w:lvl w:ilvl="0">
      <w:lvlJc w:val="left"/>
      <w:lvlText w:val="%1."/>
      <w:numFmt w:val="decimal"/>
      <w:start w:val="4"/>
    </w:lvl>
  </w:abstractNum>
  <w:abstractNum w:abstractNumId="113">
    <w:nsid w:val="E7FFA2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2019-12-28T05:05:26Z</dcterms:created>
  <dcterms:modified xsi:type="dcterms:W3CDTF">2019-12-28T05:05:26Z</dcterms:modified>
</cp:coreProperties>
</file>