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21" w:type="dxa"/>
        <w:jc w:val="left"/>
        <w:tblInd w:w="0" w:type="dxa"/>
        <w:tblLayout w:type="fixed"/>
        <w:tblCellMar>
          <w:top w:w="28" w:type="dxa"/>
          <w:left w:w="28" w:type="dxa"/>
          <w:bottom w:w="28" w:type="dxa"/>
          <w:right w:w="28" w:type="dxa"/>
        </w:tblCellMar>
      </w:tblPr>
      <w:tblGrid>
        <w:gridCol w:w="7021"/>
      </w:tblGrid>
      <w:tr>
        <w:trPr/>
        <w:tc>
          <w:tcPr>
            <w:tcW w:w="702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2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left"/>
              <w:rPr/>
            </w:pPr>
            <w:r>
              <w:rPr/>
              <w:t xml:space="preserve">UNDER THE SECURITIES EXCHANGE ACT OF 1934 </w:t>
            </w:r>
          </w:p>
        </w:tc>
      </w:tr>
      <w:tr>
        <w:trPr/>
        <w:tc>
          <w:tcPr>
            <w:tcW w:w="7021"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CHARLES RIVER LABORATORIES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2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21"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4,813,779.74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4,865,628.13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4,865,628.13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4,865,628.13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4,865,628.13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CHARLES RIVER LABORATORIES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 Ballardvale St,Wilmington,MA,US,01887</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4865628.13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4865628.13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CHARLES RIVER LABORATORIES INTERNATIONAL, INC.. No one other person's interest in the COMMON STOCK of CHARLES RIVER LABORATORIES INTERNATIONAL,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September 4,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CHARLES RIVER LABORATORIES</w:t>
      </w:r>
    </w:p>
    <w:p>
      <w:pPr>
        <w:pStyle w:val="PreformattedText"/>
        <w:bidi w:val="0"/>
        <w:spacing w:before="0" w:after="0"/>
        <w:jc w:val="left"/>
        <w:rPr/>
      </w:pPr>
      <w:r>
        <w:rPr/>
        <w:t>INTERNATIONAL, INC. at August 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1649</Words>
  <Characters>8541</Characters>
  <CharactersWithSpaces>10112</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