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67945</wp:posOffset>
            </wp:positionV>
            <wp:extent cx="2811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3060" w:hanging="629"/>
        <w:spacing w:after="0"/>
        <w:tabs>
          <w:tab w:leader="none" w:pos="3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31" w:lineRule="exact"/>
        <w:rPr>
          <w:rFonts w:ascii="MS PGothic" w:cs="MS PGothic" w:eastAsia="MS PGothic" w:hAnsi="MS PGothic"/>
          <w:sz w:val="16"/>
          <w:szCs w:val="16"/>
          <w:color w:val="auto"/>
        </w:rPr>
      </w:pPr>
    </w:p>
    <w:p>
      <w:pPr>
        <w:ind w:left="30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OF THE SECURITIES EXCHANGE ACT OF 1934</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OR</w:t>
      </w:r>
    </w:p>
    <w:p>
      <w:pPr>
        <w:spacing w:after="0" w:line="36" w:lineRule="exact"/>
        <w:rPr>
          <w:sz w:val="24"/>
          <w:szCs w:val="24"/>
          <w:color w:val="auto"/>
        </w:rPr>
      </w:pPr>
    </w:p>
    <w:p>
      <w:pPr>
        <w:ind w:left="3060" w:hanging="636"/>
        <w:spacing w:after="0"/>
        <w:tabs>
          <w:tab w:leader="none" w:pos="30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w:t>
      </w:r>
    </w:p>
    <w:p>
      <w:pPr>
        <w:spacing w:after="0" w:line="90" w:lineRule="exact"/>
        <w:rPr>
          <w:rFonts w:ascii="MS PGothic" w:cs="MS PGothic" w:eastAsia="MS PGothic" w:hAnsi="MS PGothic"/>
          <w:sz w:val="18"/>
          <w:szCs w:val="18"/>
          <w:color w:val="auto"/>
          <w:highlight w:val="black"/>
        </w:rPr>
      </w:pPr>
    </w:p>
    <w:p>
      <w:pPr>
        <w:ind w:left="3800" w:right="3760" w:hanging="759"/>
        <w:spacing w:after="0" w:line="349" w:lineRule="auto"/>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OF THE SECURITIES EXCHANGE ACT OF 1934 FOR THE TRANSITION PERIOD FROM TO</w:t>
      </w:r>
    </w:p>
    <w:p>
      <w:pPr>
        <w:spacing w:after="0" w:line="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93345</wp:posOffset>
            </wp:positionV>
            <wp:extent cx="137160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3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6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13"/>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b w:val="1"/>
                <w:bCs w:val="1"/>
                <w:color w:val="auto"/>
              </w:rPr>
              <w:t>06-1397316</w:t>
            </w:r>
          </w:p>
        </w:tc>
      </w:tr>
      <w:tr>
        <w:trPr>
          <w:trHeight w:val="217"/>
        </w:trPr>
        <w:tc>
          <w:tcPr>
            <w:tcW w:w="228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251 Ballardvale Street</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Wilmington, Massachusetts 01887</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222-6000</w:t>
      </w:r>
    </w:p>
    <w:p>
      <w:pPr>
        <w:spacing w:after="0" w:line="397" w:lineRule="exact"/>
        <w:rPr>
          <w:sz w:val="24"/>
          <w:szCs w:val="24"/>
          <w:color w:val="auto"/>
        </w:rPr>
      </w:pPr>
    </w:p>
    <w:tbl>
      <w:tblPr>
        <w:tblLayout w:type="fixed"/>
        <w:tblInd w:w="1000" w:type="dxa"/>
        <w:tblCellMar>
          <w:top w:w="0" w:type="dxa"/>
          <w:left w:w="0" w:type="dxa"/>
          <w:bottom w:w="0" w:type="dxa"/>
          <w:right w:w="0" w:type="dxa"/>
        </w:tblCellMar>
      </w:tblPr>
      <w:tr>
        <w:trPr>
          <w:trHeight w:val="226"/>
        </w:trPr>
        <w:tc>
          <w:tcPr>
            <w:tcW w:w="2360" w:type="dxa"/>
            <w:vAlign w:val="bottom"/>
          </w:tcPr>
          <w:p>
            <w:pPr>
              <w:spacing w:after="0"/>
              <w:rPr>
                <w:sz w:val="19"/>
                <w:szCs w:val="19"/>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30"/>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9"/>
              </w:rPr>
              <w:t>Ticker symbol(s)</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39"/>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color w:val="auto"/>
              </w:rPr>
              <w:t>CRL</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79"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86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00" w:type="dxa"/>
        <w:tblCellMar>
          <w:top w:w="0" w:type="dxa"/>
          <w:left w:w="0" w:type="dxa"/>
          <w:bottom w:w="0" w:type="dxa"/>
          <w:right w:w="0" w:type="dxa"/>
        </w:tblCellMar>
      </w:tblPr>
      <w:tr>
        <w:trPr>
          <w:trHeight w:val="278"/>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22"/>
                <w:szCs w:val="22"/>
                <w:color w:val="auto"/>
                <w:w w:val="96"/>
              </w:rPr>
              <w:t>Large 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6"/>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17"/>
                <w:szCs w:val="17"/>
                <w:color w:val="auto"/>
              </w:rPr>
              <w:t>Non-accelerated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38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360"/>
        <w:spacing w:after="0" w:line="29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27, 2024, there were 51,511,687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p>
      <w:pPr>
        <w:ind w:left="22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Item</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66" w:lineRule="exact"/>
        <w:rPr>
          <w:sz w:val="20"/>
          <w:szCs w:val="20"/>
          <w:color w:val="auto"/>
        </w:rPr>
      </w:pPr>
    </w:p>
    <w:p>
      <w:pPr>
        <w:ind w:left="780" w:hanging="448"/>
        <w:spacing w:after="0"/>
        <w:tabs>
          <w:tab w:leader="none" w:pos="7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Income (Unaudited) for the three months ended March 30, 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April 1, 2023</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Comprehensive Income (Unaudited) for the three months ended</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March 30, 2024 and April 1, 2023</w:t>
            </w:r>
          </w:p>
        </w:tc>
        <w:tc>
          <w:tcPr>
            <w:tcW w:w="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Balance Sheets (Unaudited) as of March 30, 2024 and December 30, 2023</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 for the three months ended March 30, 2024</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April 1, 2023</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Changes in Equity and Redeemable Noncontrolling Interests (Unaudited) for</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three months ended March 30, 2024 and April 1, 2023</w:t>
            </w:r>
          </w:p>
        </w:tc>
        <w:tc>
          <w:tcPr>
            <w:tcW w:w="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9"/>
                <w:szCs w:val="19"/>
                <w:color w:val="auto"/>
              </w:rPr>
            </w:pP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Overview</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24</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25</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Liquidity and Capital Resources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29</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Critical Accounting Policies and Estimates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Recent Accounting Pronouncements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Quantitative and Qualitative Disclosure About Market Risk</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Controls and Procedures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13"/>
        </w:trPr>
        <w:tc>
          <w:tcPr>
            <w:tcW w:w="740" w:type="dxa"/>
            <w:vAlign w:val="bottom"/>
          </w:tcPr>
          <w:p>
            <w:pPr>
              <w:spacing w:after="0"/>
              <w:rPr>
                <w:sz w:val="18"/>
                <w:szCs w:val="18"/>
                <w:color w:val="auto"/>
              </w:rPr>
            </w:pPr>
          </w:p>
        </w:tc>
        <w:tc>
          <w:tcPr>
            <w:tcW w:w="1000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Legal Proceedings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1A</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 Factors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Information</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Exhibits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Signatures</w:t>
            </w:r>
          </w:p>
        </w:tc>
        <w:tc>
          <w:tcPr>
            <w:tcW w:w="1000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88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on Factors Affecting Future Results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example, we may use forward-looking statements when addressing topics such as: our expectations regarding the availability of non-human primates and our ability to diversify our non-human primate (NHP) supply chain; the outcome of (1) the U.S. government investigations and inquiries related to the NHP supply chain (including shipments of non-human primates from Cambodia received by the Company, (2) the putative securities class action lawsuit filed against us and certain current/former officers on May 19, 2023, and (3) the derivative lawsuit filed against members of the Board of Directors and certain current/former officers on November 8, 2023; the timing and impact of the development and implementation of enhanced procedures to reasonably ensure that non-human primates we source are purpose-bred; changes and uncertainties in the global economy and financial markets, including any changes in business, political, or economic conditions due to the November 16, 2022 announcement by the U.S. Department of Justice through the U.S. Attorney’s Office for the Southern District of Florida that a Cambodian non-human primate supplier and two Cambodian officials had been criminally charged in connection with illegally importing non-human primates into the United States; client demand, particularly future demand for drug discovery and development products and services, including the outsourcing of these services; our expectations with respect to our ability to meet financial targets;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and projected timing; our expectations with respect to revenue growth and operating synergies (including the impact of specific actions intended to cause related improvements, particularly with respect to our CDMO business); the impact of specific actions intended to improve overall operating efficiencies and profitability (and our ability to accommodate future demand with our infrastructure), including gains and losses attributable to businesses we plan to close, consolidate, divest or repurpose and the impact of operations and cost structure alignment efforts (including as estimated on an annualized basis); our expectations with respect to our study cancellation rates and the impact of such cancellations;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and the impact of litigation, including our ability to successfully defend litigation against us. In addition, these statements include the impact of economic and market conditions on us and our clients, the effects of our cost-saving actions and the steps to optimize returns to shareholders on an effective and timely basis; and our ability to withstand the current market conditions.</w:t>
      </w:r>
    </w:p>
    <w:p>
      <w:pPr>
        <w:spacing w:after="0" w:line="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our Annual Report on Form 10-K for the year ended December 30, 2023, under the sections entitled “Our Strategy,” “Management’s Discussion and Analysis of Financial Condition and Results of Operations,” and in this Quarterly Report on Form 10-Q, under the sections entitled “Management’s Discussion and Analysis of Financial Condition and Results of Operations” and “Risk Factors,” in our press releases, and other financial filings with the Securities and Exchange Commission.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56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INCOME (UNAUDITED) (in thousands, except per share amounts)</w:t>
      </w:r>
    </w:p>
    <w:p>
      <w:pPr>
        <w:spacing w:after="0" w:line="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3"/>
        </w:trPr>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857,366</w:t>
            </w:r>
          </w:p>
        </w:tc>
      </w:tr>
      <w:tr>
        <w:trPr>
          <w:trHeight w:val="237"/>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194,698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172,007</w:t>
            </w:r>
          </w:p>
        </w:tc>
      </w:tr>
      <w:tr>
        <w:trPr>
          <w:trHeight w:val="24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1,029,373</w:t>
            </w: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565,477</w:t>
            </w:r>
          </w:p>
        </w:tc>
      </w:tr>
      <w:tr>
        <w:trPr>
          <w:trHeight w:val="23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86,242</w:t>
            </w:r>
          </w:p>
        </w:tc>
      </w:tr>
      <w:tr>
        <w:trPr>
          <w:trHeight w:val="25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174,846</w:t>
            </w:r>
          </w:p>
        </w:tc>
      </w:tr>
      <w:tr>
        <w:trPr>
          <w:trHeight w:val="237"/>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34,916</w:t>
            </w: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167,892</w:t>
            </w: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23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(34,380)</w:t>
            </w:r>
          </w:p>
        </w:tc>
      </w:tr>
      <w:tr>
        <w:trPr>
          <w:trHeight w:val="24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131,041</w:t>
            </w:r>
          </w:p>
        </w:tc>
      </w:tr>
      <w:tr>
        <w:trPr>
          <w:trHeight w:val="24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27,087</w:t>
            </w: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103,954</w:t>
            </w:r>
          </w:p>
        </w:tc>
      </w:tr>
      <w:tr>
        <w:trPr>
          <w:trHeight w:val="246"/>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103,131</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Calculation of net income per share attributable to common shareholders of Charles River Laboratories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 Inc.</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103,131</w:t>
            </w:r>
          </w:p>
        </w:tc>
      </w:tr>
      <w:tr>
        <w:trPr>
          <w:trHeight w:val="240"/>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Adjustment of redeemable noncontrolling interest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Incremental dividends attributable to noncontrolling interest holders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 shareholders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67,329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103,131</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3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33"/>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7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0"/>
                <w:szCs w:val="20"/>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53"/>
        </w:trPr>
        <w:tc>
          <w:tcPr>
            <w:tcW w:w="7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70"/>
        </w:trPr>
        <w:tc>
          <w:tcPr>
            <w:tcW w:w="7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0"/>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51,097</w:t>
            </w:r>
          </w:p>
        </w:tc>
      </w:tr>
      <w:tr>
        <w:trPr>
          <w:trHeight w:val="24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51,428</w:t>
            </w:r>
          </w:p>
        </w:tc>
      </w:tr>
    </w:tbl>
    <w:p>
      <w:pPr>
        <w:spacing w:after="0" w:line="2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COMPREHENSIVE INCOME (UNAUDITED)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3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78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103,954</w:t>
            </w: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23,313</w:t>
            </w:r>
          </w:p>
        </w:tc>
      </w:tr>
      <w:tr>
        <w:trPr>
          <w:trHeight w:val="202"/>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 included in total cost for pension and other post-</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benefit plans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(losses) on hedging instruments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22,081</w:t>
            </w: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Income tax benefit related to items of other comprehensive income</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net of income taxes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127,073</w:t>
            </w:r>
          </w:p>
        </w:tc>
      </w:tr>
      <w:tr>
        <w:trPr>
          <w:trHeight w:val="24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(loss) related to noncontrolling interests, net of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Charles River Laboratories International, Inc., net of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126,064</w:t>
            </w:r>
          </w:p>
        </w:tc>
      </w:tr>
      <w:tr>
        <w:trPr>
          <w:trHeight w:val="21"/>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276,771</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$25,407 and $25,722, respectively</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786,980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780,375</w:t>
            </w: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380,259</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87,879</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99,054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83,378</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1,668,188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1,608,662</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1,639,741</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243,811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394,029</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3,070,241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3,095,045</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864,051</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40,279</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303,147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309,383</w:t>
            </w:r>
          </w:p>
        </w:tc>
        <w:tc>
          <w:tcPr>
            <w:tcW w:w="0" w:type="dxa"/>
            <w:vAlign w:val="bottom"/>
          </w:tcPr>
          <w:p>
            <w:pPr>
              <w:spacing w:after="0"/>
              <w:rPr>
                <w:sz w:val="1"/>
                <w:szCs w:val="1"/>
                <w:color w:val="auto"/>
              </w:rPr>
            </w:pPr>
          </w:p>
        </w:tc>
      </w:tr>
      <w:tr>
        <w:trPr>
          <w:trHeight w:val="268"/>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8,152,783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8,195,001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168,937</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213,290</w:t>
            </w: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241,820</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227,825</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188,247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203,210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954,810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1,055,082</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2,660,459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2,647,147</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419,234</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191,349</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223,191</w:t>
            </w:r>
          </w:p>
        </w:tc>
        <w:tc>
          <w:tcPr>
            <w:tcW w:w="0" w:type="dxa"/>
            <w:vAlign w:val="bottom"/>
          </w:tcPr>
          <w:p>
            <w:pPr>
              <w:spacing w:after="0"/>
              <w:rPr>
                <w:sz w:val="1"/>
                <w:szCs w:val="1"/>
                <w:color w:val="auto"/>
              </w:rPr>
            </w:pPr>
          </w:p>
        </w:tc>
      </w:tr>
      <w:tr>
        <w:trPr>
          <w:trHeight w:val="23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4,448,858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4,536,003</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 11, 13, and 15)</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tc>
        <w:tc>
          <w:tcPr>
            <w:tcW w:w="22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Common stock, $0.01 par value; 120,000 shares authorized; 51,552 shares issued and 51,510 shares outstanding as of</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March 30, 2024, and 51,338 shares issued and outstanding as of December 30, 2023</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1,905,578</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1,959,777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1,887,218</w:t>
            </w:r>
          </w:p>
        </w:tc>
        <w:tc>
          <w:tcPr>
            <w:tcW w:w="0" w:type="dxa"/>
            <w:vAlign w:val="bottom"/>
          </w:tcPr>
          <w:p>
            <w:pPr>
              <w:spacing w:after="0"/>
              <w:rPr>
                <w:sz w:val="1"/>
                <w:szCs w:val="1"/>
                <w:color w:val="auto"/>
              </w:rPr>
            </w:pPr>
          </w:p>
        </w:tc>
      </w:tr>
      <w:tr>
        <w:trPr>
          <w:trHeight w:val="240"/>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42 and zero shares, as of March 30, 2024 and December 30, 2023, respectively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(249,919)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(196,427)</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3,596,882</w:t>
            </w:r>
          </w:p>
        </w:tc>
        <w:tc>
          <w:tcPr>
            <w:tcW w:w="0" w:type="dxa"/>
            <w:vAlign w:val="bottom"/>
          </w:tcPr>
          <w:p>
            <w:pPr>
              <w:spacing w:after="0"/>
              <w:rPr>
                <w:sz w:val="1"/>
                <w:szCs w:val="1"/>
                <w:color w:val="auto"/>
              </w:rPr>
            </w:pPr>
          </w:p>
        </w:tc>
      </w:tr>
      <w:tr>
        <w:trPr>
          <w:trHeight w:val="24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3,646,150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3,602,276</w:t>
            </w:r>
          </w:p>
        </w:tc>
        <w:tc>
          <w:tcPr>
            <w:tcW w:w="0" w:type="dxa"/>
            <w:vAlign w:val="bottom"/>
          </w:tcPr>
          <w:p>
            <w:pPr>
              <w:spacing w:after="0"/>
              <w:rPr>
                <w:sz w:val="1"/>
                <w:szCs w:val="1"/>
                <w:color w:val="auto"/>
              </w:rPr>
            </w:pPr>
          </w:p>
        </w:tc>
      </w:tr>
      <w:tr>
        <w:trPr>
          <w:trHeight w:val="335"/>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noncontrolling interests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8,152,783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8,195,001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320"/>
              <w:spacing w:after="0"/>
              <w:rPr>
                <w:sz w:val="20"/>
                <w:szCs w:val="20"/>
                <w:color w:val="auto"/>
              </w:rPr>
            </w:pPr>
            <w:r>
              <w:rPr>
                <w:rFonts w:ascii="Times New Roman" w:cs="Times New Roman" w:eastAsia="Times New Roman" w:hAnsi="Times New Roman"/>
                <w:sz w:val="16"/>
                <w:szCs w:val="16"/>
                <w:color w:val="auto"/>
                <w:w w:val="98"/>
              </w:rPr>
              <w:t>See Notes to Unaudited Condensed Consolidated Financial Statements.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 w:name="page7"/>
    <w:bookmarkEnd w:id="6"/>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CASH FLOWS (UNAUDITED)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operating activities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103,954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77,069</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Long-lived asset impairment charges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venture capital and strategic equity investments,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(33,831)</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(41,313)</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109,383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investing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(106,875)</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(168,618)</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financing activities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192,500</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(157,328)</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(32,323)</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284,480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241,214</w:t>
            </w:r>
          </w:p>
        </w:tc>
        <w:tc>
          <w:tcPr>
            <w:tcW w:w="0" w:type="dxa"/>
            <w:vAlign w:val="bottom"/>
          </w:tcPr>
          <w:p>
            <w:pPr>
              <w:spacing w:after="0"/>
              <w:rPr>
                <w:sz w:val="1"/>
                <w:szCs w:val="1"/>
                <w:color w:val="auto"/>
              </w:rPr>
            </w:pPr>
          </w:p>
        </w:tc>
      </w:tr>
      <w:tr>
        <w:trPr>
          <w:trHeight w:val="21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208,891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jc w:val="right"/>
        <w:ind w:righ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right"/>
        <w:ind w:right="49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right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River</w:t>
            </w: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Laboratories,</w:t>
            </w:r>
          </w:p>
        </w:tc>
        <w:tc>
          <w:tcPr>
            <w:tcW w:w="10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56,722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51,338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1,905,578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1,887,218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(196,427)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3,596,882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3,602,276</w:t>
            </w: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1,201</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73,281</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shd w:val="clear" w:color="auto" w:fill="CCEEFF"/>
          </w:tcPr>
          <w:p>
            <w:pPr>
              <w:spacing w:after="0"/>
              <w:rPr>
                <w:sz w:val="13"/>
                <w:szCs w:val="13"/>
                <w:color w:val="auto"/>
              </w:rPr>
            </w:pPr>
          </w:p>
        </w:tc>
        <w:tc>
          <w:tcPr>
            <w:tcW w:w="96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net of tax</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(53,492)</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1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(4,807)</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4,807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Dividends to</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21,505</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Purchase of treasury shares</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(9,351)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w:t>
            </w:r>
          </w:p>
        </w:tc>
        <w:tc>
          <w:tcPr>
            <w:tcW w:w="0" w:type="dxa"/>
            <w:vAlign w:val="bottom"/>
          </w:tcPr>
          <w:p>
            <w:pPr>
              <w:spacing w:after="0"/>
              <w:rPr>
                <w:sz w:val="1"/>
                <w:szCs w:val="1"/>
                <w:color w:val="auto"/>
              </w:rPr>
            </w:pPr>
          </w:p>
        </w:tc>
      </w:tr>
      <w:tr>
        <w:trPr>
          <w:trHeight w:val="173"/>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Pr>
          <w:p>
            <w:pPr>
              <w:spacing w:after="0"/>
              <w:rPr>
                <w:sz w:val="15"/>
                <w:szCs w:val="15"/>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16,738</w:t>
            </w:r>
          </w:p>
        </w:tc>
        <w:tc>
          <w:tcPr>
            <w:tcW w:w="0" w:type="dxa"/>
            <w:vAlign w:val="bottom"/>
          </w:tcPr>
          <w:p>
            <w:pPr>
              <w:spacing w:after="0"/>
              <w:rPr>
                <w:sz w:val="1"/>
                <w:szCs w:val="1"/>
                <w:color w:val="auto"/>
              </w:rPr>
            </w:pPr>
          </w:p>
        </w:tc>
      </w:tr>
      <w:tr>
        <w:trPr>
          <w:trHeight w:val="29"/>
        </w:trPr>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57,775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51,552</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1,939,413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1,959,777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(249,919)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(9,351)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3,640,435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3,646,150</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tcBorders>
              <w:right w:val="single" w:sz="8" w:color="CCEEFF"/>
            </w:tcBorders>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right w:val="single" w:sz="8" w:color="auto"/>
            </w:tcBorders>
            <w:vMerge w:val="restart"/>
          </w:tcPr>
          <w:p>
            <w:pPr>
              <w:jc w:val="center"/>
              <w:ind w:right="77"/>
              <w:spacing w:after="0" w:line="142"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River</w:t>
            </w: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Laboratories,</w:t>
            </w:r>
          </w:p>
        </w:tc>
        <w:tc>
          <w:tcPr>
            <w:tcW w:w="10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42,427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50,944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1,804,940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1,432,901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(262,057)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2,976,293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2,981,078</w:t>
            </w:r>
          </w:p>
        </w:tc>
        <w:tc>
          <w:tcPr>
            <w:tcW w:w="0" w:type="dxa"/>
            <w:vAlign w:val="bottom"/>
          </w:tcPr>
          <w:p>
            <w:pPr>
              <w:spacing w:after="0"/>
              <w:rPr>
                <w:sz w:val="1"/>
                <w:szCs w:val="1"/>
                <w:color w:val="auto"/>
              </w:rPr>
            </w:pPr>
          </w:p>
        </w:tc>
      </w:t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6"/>
                <w:szCs w:val="16"/>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322</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103,632</w:t>
            </w: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shd w:val="clear" w:color="auto" w:fill="CCEEFF"/>
          </w:tcPr>
          <w:p>
            <w:pPr>
              <w:spacing w:after="0"/>
              <w:rPr>
                <w:sz w:val="14"/>
                <w:szCs w:val="14"/>
                <w:color w:val="auto"/>
              </w:rPr>
            </w:pPr>
          </w:p>
        </w:tc>
        <w:tc>
          <w:tcPr>
            <w:tcW w:w="96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net of tax</w:t>
            </w:r>
          </w:p>
        </w:tc>
        <w:tc>
          <w:tcPr>
            <w:tcW w:w="100" w:type="dxa"/>
            <w:vAlign w:val="bottom"/>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186</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22,933</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22,933</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 to</w:t>
            </w:r>
          </w:p>
        </w:tc>
        <w:tc>
          <w:tcPr>
            <w:tcW w:w="1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tcPr>
          <w:p>
            <w:pPr>
              <w:spacing w:after="0"/>
              <w:rPr>
                <w:sz w:val="14"/>
                <w:szCs w:val="14"/>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shd w:val="clear" w:color="auto" w:fill="CCEEFF"/>
          </w:tcPr>
          <w:p>
            <w:pPr>
              <w:spacing w:after="0"/>
              <w:rPr>
                <w:sz w:val="11"/>
                <w:szCs w:val="11"/>
                <w:color w:val="auto"/>
              </w:rPr>
            </w:pPr>
          </w:p>
        </w:tc>
        <w:tc>
          <w:tcPr>
            <w:tcW w:w="96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11,792</w:t>
            </w: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shd w:val="clear" w:color="auto" w:fill="CCEEFF"/>
          </w:tcPr>
          <w:p>
            <w:pPr>
              <w:spacing w:after="0"/>
              <w:rPr>
                <w:sz w:val="15"/>
                <w:szCs w:val="15"/>
                <w:color w:val="auto"/>
              </w:rPr>
            </w:pPr>
          </w:p>
        </w:tc>
        <w:tc>
          <w:tcPr>
            <w:tcW w:w="96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Purchase of treasury shares</w:t>
            </w:r>
          </w:p>
        </w:tc>
        <w:tc>
          <w:tcPr>
            <w:tcW w:w="100" w:type="dxa"/>
            <w:vAlign w:val="bottom"/>
          </w:tcPr>
          <w:p>
            <w:pPr>
              <w:spacing w:after="0"/>
              <w:rPr>
                <w:sz w:val="16"/>
                <w:szCs w:val="16"/>
                <w:color w:val="auto"/>
              </w:rPr>
            </w:pPr>
          </w:p>
        </w:tc>
        <w:tc>
          <w:tcPr>
            <w:tcW w:w="96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8"/>
              </w:rPr>
              <w:t>(19,012)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(19,012)</w:t>
            </w:r>
          </w:p>
        </w:tc>
        <w:tc>
          <w:tcPr>
            <w:tcW w:w="0" w:type="dxa"/>
            <w:vAlign w:val="bottom"/>
          </w:tcPr>
          <w:p>
            <w:pPr>
              <w:spacing w:after="0"/>
              <w:rPr>
                <w:sz w:val="1"/>
                <w:szCs w:val="1"/>
                <w:color w:val="auto"/>
              </w:rPr>
            </w:pPr>
          </w:p>
        </w:tc>
      </w:tr>
      <w:tr>
        <w:trPr>
          <w:trHeight w:val="21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13,460</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42,935</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51,260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1,830,189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1,536,032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(239,124)</w:t>
            </w: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78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w w:val="98"/>
              </w:rPr>
              <w:t>(19,012)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3,108,597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5,286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3,113,883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by Charles River Laboratories International, Inc. (the Company) in accordance with accounting principles generally accepted in the United States (U.S. GAAP) and pursuant to the rules and regulations of the Securities and Exchange Commission (SEC). The year-end condensed consolidated balance sheet data was derived from the Company’s audited consolidated financial statements, but does not include all disclosures required by U.S. GAAP. These unaudited condensed consolidated financial statements should be read in conjunction with the Company’s Annual Report on Form 10-K for fiscal year 2023. Certain reclassifications of prior year amounts have been made to conform to the current year presentation. The unaudited condensed consolidated financial statements, in the opinion of management, reflect all normal and recurring adjustments necessary for a fair statement of the Company’s financial position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Pronouncements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(Topic 280)”. ASU 2023-07 modifies reportable segment disclosure requirements, primarily through enhanced disclosures about segment expenses categorized as significant or regularly provided to the Chief Operating Decision Maker (CODM). In addition, the amendments enhance interim disclosure requirements, clarify circumstances in which an entity can disclose multiple segment measures of profit or loss, and contain other disclosure requirements. The purpose of the amendments is to enable investors to better understand an entity’s overall performance and assess potential future cash flows. This ASU is effective for fiscal years beginning after December 15, 2023, and interim periods within fiscal years beginning after December 15, 2024. Early adoption is permitted and the amendments in this update are required to be applied on a retrospective basis. The Company is currently evaluating the impact this new standard will have on the related disclosures in the annual consolidated financial statements, but does not believe there will be a material impact.</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The Company is currently evaluating the impact this new standard will have on the related disclosures on the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“Description of Business and Summary of Significant Accounting Policies” in the Company’s Annual Report on Form 10-K for fiscal year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unaudited condensed consolidated statements of income equal to the percentage of the economic or ownership interest retained in such entities by the respective noncontrolling parties. Redeemable noncontrolling interests, where the noncontrolling interest holders have the ability to require the Company to purchase the remaining interests, are classified in the mezzanine section of the unaudited condensed consolidated balance sheets, which is presented above the equity section and below liabilities. Intercompany balances and transactions are eliminated in consolidation.</w:t>
      </w:r>
    </w:p>
    <w:p>
      <w:pPr>
        <w:spacing w:after="0" w:line="8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reports its results in three reportable segments: Research Models and Services (RMS), Discovery and Safety Assessment (DSA), and Manufacturing Solutions (Manufacturing).</w:t>
      </w:r>
    </w:p>
    <w:p>
      <w:pPr>
        <w:spacing w:after="0" w:line="5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Company’s RMS reportable segment includes the Research Models, Research Model Services, and Cell Solutions businesses. Research Models includes the commercial production and sale of small research models, as well as the supply of large research models. Research Model Services includes: Insourcing Solutions (IS), which provides colony management of clients’ research operations (including recruitment, training, staffing, and management services) within the clients’ facilities and utilizing the Charles River Accelerator and Development Lab (CRADL™) offering, which provides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supplies controlled, consistent, customized primary cells and blood components derived from normal and mobilized peripheral blood and bone marrow.</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DSA reportable segment includes two businesses: Discovery Services and Safety Assessment. The Company provides regulated and non-regulated DSA services to support the research, development, and regulatory-required safety testing of potential new drugs, including therapeutic discovery and optimization plus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laboratory support services, and strategic non-clinical consulting and program management to support product development.</w:t>
      </w:r>
    </w:p>
    <w:p>
      <w:pPr>
        <w:spacing w:after="0" w:line="70" w:lineRule="exact"/>
        <w:rPr>
          <w:sz w:val="20"/>
          <w:szCs w:val="20"/>
          <w:color w:val="auto"/>
        </w:rPr>
      </w:pPr>
    </w:p>
    <w:p>
      <w:pPr>
        <w:ind w:right="50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ind w:right="7880" w:firstLine="8"/>
        <w:spacing w:after="0" w:line="375"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 Fiscal 2023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 Group</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November 30, 2023, the Company completed the acquisition of an additional 41% equity interest of Noveprim Group (Noveprim), a leading supplier of non-human primates (NHPs) located in Mauritius, resulting in a 90% controlling interest. The Company had previously acquired a 49% equity interest in 2022 for $90.0 million plus additional contingent payments up to $5.0 million based on future performance. The total consideration allocable to the Noveprim acquisition is $374.8 million, which includes $144.6 million additional cash paid for the 41% equity interest, elimination of historical activity and intercompany balances of $198.8 million which includes a remeasurement gain on the 49% equity investment of $103.2 million, contingent consideration of $33.3 million, deferred purchase price of $12.0 million payable from 2024 through 2027, offset by estimated post-closing adjustments for working capital of $13.8 million. The contingent consideration fair value is estimated using a Monte Carlo Simulation model and the maximum contingent contractual payments are up to $55.0 million based on future performance and milestone achievements in fiscal years 2023 through 2025. The Company has the call option right to purchase the remaining 10% equity interest up until one month after the sixth anniversary of closing the 41% equity interest. On the first anniversary of the expiration of the call option, a 12-month put option will be triggered giving the seller the right to require the Company to acquire the remaining shares of the seller. The redemption price for the call/put is fixed and ranges from $47.0 million to $54.0 million depending on when exercised. The noncontrolling interest is classified as a redeemable noncontrolling interest in the mezzanine section of the unaudited condensed consolidated balance sheet. The acquisition was funded through a combination of available cash and proceeds from the Company’s Credit Facility. This business is reported as part of the Company’s DSA reportable segment for NHPs vertically integrated into the DSA supply chain and the RMS reportable segment for those NHPs sold to third party customers. The Company incurred transaction and integration costs in connection with the acquisition of $0.2 million and $0.8 million for the three months ended March 30, 2024 and April 1, 2023, respectively, which was primarily included in Selling, general and administrative expenses within the unaudited condensed consolidated statements of income.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SAMDI Tech, Inc.</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January 27, 2023, the Company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net of $0.4 million in cash, inclusive of a 20% strategic equity interest previously owned by the Company of $12.6 million. The acquisition was funded through a combination of available cash and proceeds from the Company’s Credit Facility. This business is reported as part of the Company’s DSA reportable segment. The Company did not incur material transaction and integration costs in connection with the acquisition for the three months ended March 30, 2024 and April 1, 2023.</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was as follows:</w:t>
      </w:r>
    </w:p>
    <w:p>
      <w:pPr>
        <w:spacing w:after="0" w:line="40"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Noveprim Group</w:t>
            </w:r>
            <w:r>
              <w:rPr>
                <w:rFonts w:ascii="Times New Roman" w:cs="Times New Roman" w:eastAsia="Times New Roman" w:hAnsi="Times New Roman"/>
                <w:sz w:val="18"/>
                <w:szCs w:val="18"/>
                <w:b w:val="1"/>
                <w:bCs w:val="1"/>
                <w:color w:val="auto"/>
                <w:vertAlign w:val="superscript"/>
              </w:rPr>
              <w:t>(1)</w:t>
            </w:r>
          </w:p>
        </w:tc>
        <w:tc>
          <w:tcPr>
            <w:tcW w:w="380" w:type="dxa"/>
            <w:vAlign w:val="bottom"/>
          </w:tcPr>
          <w:p>
            <w:pPr>
              <w:spacing w:after="0"/>
              <w:rPr>
                <w:sz w:val="18"/>
                <w:szCs w:val="18"/>
                <w:color w:val="auto"/>
              </w:rPr>
            </w:pPr>
          </w:p>
        </w:tc>
        <w:tc>
          <w:tcPr>
            <w:tcW w:w="152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SAMDI Tech, Inc.</w:t>
            </w:r>
          </w:p>
        </w:tc>
      </w:tr>
      <w:tr>
        <w:trPr>
          <w:trHeight w:val="190"/>
        </w:trPr>
        <w:tc>
          <w:tcPr>
            <w:tcW w:w="56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27, 2023</w:t>
            </w:r>
          </w:p>
        </w:tc>
      </w:tr>
      <w:tr>
        <w:trPr>
          <w:trHeight w:val="196"/>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520" w:type="dxa"/>
            <w:vAlign w:val="bottom"/>
          </w:tcPr>
          <w:p>
            <w:pPr>
              <w:spacing w:after="0"/>
              <w:rPr>
                <w:sz w:val="17"/>
                <w:szCs w:val="17"/>
                <w:color w:val="auto"/>
              </w:rPr>
            </w:pPr>
          </w:p>
        </w:tc>
      </w:tr>
      <w:tr>
        <w:trPr>
          <w:trHeight w:val="22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(excluding cash)</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 net</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37,129</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33,070</w:t>
            </w:r>
          </w:p>
        </w:tc>
      </w:tr>
      <w:tr>
        <w:trPr>
          <w:trHeight w:val="216"/>
        </w:trPr>
        <w:tc>
          <w:tcPr>
            <w:tcW w:w="56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long-term assets </w:t>
            </w:r>
            <w:r>
              <w:rPr>
                <w:rFonts w:ascii="Times New Roman" w:cs="Times New Roman" w:eastAsia="Times New Roman" w:hAnsi="Times New Roman"/>
                <w:sz w:val="21"/>
                <w:szCs w:val="21"/>
                <w:color w:val="auto"/>
                <w:vertAlign w:val="superscript"/>
              </w:rPr>
              <w:t>(3)</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 (Long-term)</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w:t>
            </w: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6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Redeemable noncontrolling interest </w:t>
            </w:r>
            <w:r>
              <w:rPr>
                <w:rFonts w:ascii="Times New Roman" w:cs="Times New Roman" w:eastAsia="Times New Roman" w:hAnsi="Times New Roman"/>
                <w:sz w:val="21"/>
                <w:szCs w:val="21"/>
                <w:color w:val="auto"/>
                <w:vertAlign w:val="superscript"/>
              </w:rPr>
              <w:t>(4)</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374,834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62,801</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840" w:right="140" w:hanging="166"/>
        <w:spacing w:after="0" w:line="228" w:lineRule="auto"/>
        <w:tabs>
          <w:tab w:leader="none" w:pos="81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Purchase price allocation is preliminary and subject to change as additional information becomes available concerning the fair value and tax basis of the assets acquired and liabilities assumed, including certain contracts, obligations, and finalization of any working capital adjustments. Any additional adjustments to the purchase price allocation will be made as soon as practicable but no later than one year from the date of acquisition.</w:t>
      </w:r>
    </w:p>
    <w:p>
      <w:pPr>
        <w:spacing w:after="0" w:line="16" w:lineRule="exact"/>
        <w:rPr>
          <w:rFonts w:ascii="Times New Roman" w:cs="Times New Roman" w:eastAsia="Times New Roman" w:hAnsi="Times New Roman"/>
          <w:sz w:val="17"/>
          <w:szCs w:val="17"/>
          <w:color w:val="auto"/>
          <w:vertAlign w:val="superscript"/>
        </w:rPr>
      </w:pPr>
    </w:p>
    <w:p>
      <w:pPr>
        <w:ind w:left="840" w:right="80" w:hanging="166"/>
        <w:spacing w:after="0" w:line="228" w:lineRule="auto"/>
        <w:tabs>
          <w:tab w:leader="none" w:pos="81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goodwill resulting from these transactions is primarily attributable to the potential growth of the Company’s segments from new customers introduced to the acquired businesses or synergies to be realized from acquiring an internal supplier servicing the DSA business and the assembled workforce of the acquirees, thus is not deductible for tax purposes.</w:t>
      </w:r>
    </w:p>
    <w:p>
      <w:pPr>
        <w:spacing w:after="0" w:line="16" w:lineRule="exact"/>
        <w:rPr>
          <w:rFonts w:ascii="Times New Roman" w:cs="Times New Roman" w:eastAsia="Times New Roman" w:hAnsi="Times New Roman"/>
          <w:sz w:val="17"/>
          <w:szCs w:val="17"/>
          <w:color w:val="auto"/>
          <w:vertAlign w:val="superscript"/>
        </w:rPr>
      </w:pPr>
    </w:p>
    <w:p>
      <w:pPr>
        <w:ind w:left="840" w:right="80" w:hanging="166"/>
        <w:spacing w:after="0"/>
        <w:tabs>
          <w:tab w:leader="none" w:pos="81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long-term assets acquired from the Noveprim acquisition include $167.8 million of biological assets, which will be amortized over an estimated eight-year useful life.</w:t>
      </w:r>
    </w:p>
    <w:p>
      <w:pPr>
        <w:spacing w:after="0" w:line="141" w:lineRule="exact"/>
        <w:rPr>
          <w:rFonts w:ascii="Times New Roman" w:cs="Times New Roman" w:eastAsia="Times New Roman" w:hAnsi="Times New Roman"/>
          <w:sz w:val="17"/>
          <w:szCs w:val="17"/>
          <w:color w:val="auto"/>
          <w:vertAlign w:val="superscript"/>
        </w:rPr>
      </w:pPr>
    </w:p>
    <w:p>
      <w:pPr>
        <w:ind w:left="820" w:hanging="146"/>
        <w:spacing w:after="0" w:line="219" w:lineRule="auto"/>
        <w:tabs>
          <w:tab w:leader="none" w:pos="82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Refer to Note 12. Equity and Noncontrolling Interests for further a description of the 10% noncontrolling interest fair value.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definite-lived intangible assets acquired were as follows: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Noveprim Group</w:t>
            </w:r>
          </w:p>
        </w:tc>
        <w:tc>
          <w:tcPr>
            <w:tcW w:w="180" w:type="dxa"/>
            <w:vAlign w:val="bottom"/>
          </w:tcPr>
          <w:p>
            <w:pPr>
              <w:spacing w:after="0"/>
              <w:rPr>
                <w:sz w:val="16"/>
                <w:szCs w:val="16"/>
                <w:color w:val="auto"/>
              </w:rPr>
            </w:pPr>
          </w:p>
        </w:tc>
        <w:tc>
          <w:tcPr>
            <w:tcW w:w="15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SAMDI Tech, Inc.</w:t>
            </w: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23,400</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9,670</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16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Amortization Life</w:t>
            </w:r>
          </w:p>
        </w:tc>
        <w:tc>
          <w:tcPr>
            <w:tcW w:w="200" w:type="dxa"/>
            <w:vAlign w:val="bottom"/>
            <w:tcBorders>
              <w:bottom w:val="single" w:sz="8" w:color="auto"/>
            </w:tcBorders>
            <w:shd w:val="clear" w:color="auto" w:fill="CCEEFF"/>
          </w:tcPr>
          <w:p>
            <w:pPr>
              <w:spacing w:after="0"/>
              <w:rPr>
                <w:sz w:val="17"/>
                <w:szCs w:val="17"/>
                <w:color w:val="auto"/>
              </w:rPr>
            </w:pPr>
          </w:p>
        </w:tc>
        <w:tc>
          <w:tcPr>
            <w:tcW w:w="3160" w:type="dxa"/>
            <w:vAlign w:val="bottom"/>
            <w:tcBorders>
              <w:bottom w:val="single" w:sz="8" w:color="auto"/>
            </w:tcBorders>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117" w:right="14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major business line and timing of transfer of products or services: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5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2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192"/>
        </w:trPr>
        <w:tc>
          <w:tcPr>
            <w:tcW w:w="5580" w:type="dxa"/>
            <w:vAlign w:val="bottom"/>
          </w:tcPr>
          <w:p>
            <w:pPr>
              <w:spacing w:after="0"/>
              <w:rPr>
                <w:sz w:val="16"/>
                <w:szCs w:val="16"/>
                <w:color w:val="auto"/>
              </w:rPr>
            </w:pPr>
          </w:p>
        </w:tc>
        <w:tc>
          <w:tcPr>
            <w:tcW w:w="208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55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9"/>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180" w:type="dxa"/>
            <w:vAlign w:val="bottom"/>
            <w:tcBorders>
              <w:bottom w:val="single" w:sz="8" w:color="CCEEFF"/>
            </w:tcBorders>
            <w:shd w:val="clear" w:color="auto" w:fill="CCEEFF"/>
          </w:tcPr>
          <w:p>
            <w:pPr>
              <w:spacing w:after="0"/>
              <w:rPr>
                <w:sz w:val="18"/>
                <w:szCs w:val="18"/>
                <w:color w:val="auto"/>
              </w:rPr>
            </w:pPr>
          </w:p>
        </w:tc>
      </w:tr>
      <w:tr>
        <w:trPr>
          <w:trHeight w:val="19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1180" w:type="dxa"/>
            <w:vAlign w:val="bottom"/>
          </w:tcPr>
          <w:p>
            <w:pPr>
              <w:spacing w:after="0"/>
              <w:rPr>
                <w:sz w:val="16"/>
                <w:szCs w:val="16"/>
                <w:color w:val="auto"/>
              </w:rPr>
            </w:pPr>
          </w:p>
        </w:tc>
      </w:tr>
    </w:tbl>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97,049</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93,639</w:t>
            </w:r>
          </w:p>
        </w:tc>
      </w:tr>
      <w:tr>
        <w:trPr>
          <w:trHeight w:val="24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123,858</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106,127</w:t>
            </w:r>
          </w:p>
        </w:tc>
      </w:tr>
      <w:tr>
        <w:trPr>
          <w:trHeight w:val="226"/>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RMS revenue</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220,907</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199,766</w:t>
            </w:r>
          </w:p>
        </w:tc>
      </w:tr>
      <w:tr>
        <w:trPr>
          <w:trHeight w:val="17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5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604,125</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661,836</w:t>
            </w:r>
          </w:p>
        </w:tc>
      </w:tr>
      <w:tr>
        <w:trPr>
          <w:trHeight w:val="24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26"/>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DSA revenue</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605,452</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662,353</w:t>
            </w:r>
          </w:p>
        </w:tc>
      </w:tr>
      <w:tr>
        <w:trPr>
          <w:trHeight w:val="17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5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4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100,058</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86,086</w:t>
            </w:r>
          </w:p>
        </w:tc>
      </w:tr>
      <w:tr>
        <w:trPr>
          <w:trHeight w:val="240"/>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85,143</w:t>
            </w: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81,168</w:t>
            </w:r>
          </w:p>
        </w:tc>
      </w:tr>
      <w:tr>
        <w:trPr>
          <w:trHeight w:val="223"/>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1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167,254</w:t>
            </w:r>
          </w:p>
        </w:tc>
      </w:tr>
      <w:tr>
        <w:trPr>
          <w:trHeight w:val="213"/>
        </w:trPr>
        <w:tc>
          <w:tcPr>
            <w:tcW w:w="5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1,029,373</w:t>
            </w:r>
          </w:p>
        </w:tc>
      </w:tr>
      <w:tr>
        <w:trPr>
          <w:trHeight w:val="20"/>
        </w:trPr>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client receivables, contract assets, and contract liabilities from contracts with customers: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5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r>
      <w:tr>
        <w:trPr>
          <w:trHeight w:val="186"/>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from contracts with customers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578,077</w:t>
            </w:r>
          </w:p>
        </w:tc>
      </w:tr>
      <w:tr>
        <w:trPr>
          <w:trHeight w:val="24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228,020</w:t>
            </w:r>
          </w:p>
        </w:tc>
      </w:tr>
      <w:tr>
        <w:trPr>
          <w:trHeight w:val="236"/>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812,387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806,097</w:t>
            </w:r>
          </w:p>
        </w:tc>
      </w:tr>
      <w:tr>
        <w:trPr>
          <w:trHeight w:val="23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(25,722)</w:t>
            </w:r>
          </w:p>
        </w:tc>
      </w:tr>
      <w:tr>
        <w:trPr>
          <w:trHeight w:val="243"/>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786,980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780,375</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from contracts with customers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241,820</w:t>
            </w:r>
          </w:p>
        </w:tc>
      </w:tr>
      <w:tr>
        <w:trPr>
          <w:trHeight w:val="24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 (included in Other long-term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30,919</w:t>
            </w:r>
          </w:p>
        </w:tc>
      </w:tr>
      <w:tr>
        <w:trPr>
          <w:trHeight w:val="24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70% of unbilled revenue as of December 30, 2023, which was $228 million, was billed during the three months ended March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70% of unbilled revenue as of December 31, 2022, which was $204 million, was billed during the three months ended April 1, 2023.</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Approximately 60% of contract liabilities as of December 30, 2023, which was $273 million, were recognized as revenue during the three months ended March 30, 2024. Approximately 65% of contract liabilities as of December 31, 2022, which was $290 million, were recognized as revenue during the three months ended April 1, 2023.</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$52 million and $41 million of unpaid advanced client billings from both client receivables and deferred revenue in the accompanying unaudited condensed consolidated balance sheets as of March 30, 2024 and December 30, 2023,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of the Company’s allowance for credit losses: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11,278</w:t>
            </w:r>
          </w:p>
        </w:tc>
      </w:tr>
      <w:tr>
        <w:trPr>
          <w:trHeight w:val="240"/>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r>
      <w:tr>
        <w:trPr>
          <w:trHeight w:val="24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Deductions</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16,694</w:t>
            </w: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provisions were $0.8 million and $3.2 million during the three months ended March 30, 2024 and April 1, 2023, respectively and include recoveries of balances previously written off, which are excluded from the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discloses the aggregate amount of transaction price that is allocated to performance obligations that have not yet been satisfied as of</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March 30, 2024.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March 30, 2024 was $920.5 million. The Company will recognize revenues for these performance obligations as they are satisfied, approximately 50% of which is expected to occur within the next twelve months and the remainder recognized thereafter during the remaining contract term.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Performance Obligation</w:t>
      </w:r>
      <w:r>
        <w:rPr>
          <w:rFonts w:ascii="Calibri" w:cs="Calibri" w:eastAsia="Calibri" w:hAnsi="Calibri"/>
          <w:sz w:val="18"/>
          <w:szCs w:val="18"/>
          <w:b w:val="1"/>
          <w:bCs w:val="1"/>
          <w:i w:val="1"/>
          <w:iCs w:val="1"/>
          <w:color w:val="auto"/>
        </w:rPr>
        <w:t>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4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Unaudited Condensed</w:t>
            </w:r>
          </w:p>
        </w:tc>
        <w:tc>
          <w:tcPr>
            <w:tcW w:w="0" w:type="dxa"/>
            <w:vAlign w:val="bottom"/>
          </w:tcPr>
          <w:p>
            <w:pPr>
              <w:spacing w:after="0"/>
              <w:rPr>
                <w:sz w:val="1"/>
                <w:szCs w:val="1"/>
                <w:color w:val="auto"/>
              </w:rPr>
            </w:pPr>
          </w:p>
        </w:tc>
      </w:tr>
      <w:tr>
        <w:trPr>
          <w:trHeight w:val="115"/>
        </w:trPr>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gridSpan w:val="4"/>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gridSpan w:val="4"/>
            <w:vMerge w:val="continue"/>
          </w:tcPr>
          <w:p>
            <w:pPr>
              <w:spacing w:after="0"/>
              <w:rPr>
                <w:sz w:val="17"/>
                <w:szCs w:val="17"/>
                <w:color w:val="auto"/>
              </w:rPr>
            </w:pPr>
          </w:p>
        </w:tc>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20,974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24,090</w:t>
            </w:r>
          </w:p>
        </w:tc>
        <w:tc>
          <w:tcPr>
            <w:tcW w:w="80" w:type="dxa"/>
            <w:vAlign w:val="bottom"/>
            <w:shd w:val="clear" w:color="auto" w:fill="CCEEFF"/>
          </w:tcPr>
          <w:p>
            <w:pPr>
              <w:spacing w:after="0"/>
              <w:rPr>
                <w:sz w:val="18"/>
                <w:szCs w:val="18"/>
                <w:color w:val="auto"/>
              </w:rPr>
            </w:pPr>
          </w:p>
        </w:tc>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AND GEOGRAPHIC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three reportable segments, RMS, DSA and Manufacturing. Asset information on a reportable segment basis is not disclosed as this information is not separately identified and internally reported to the Company’s Chief Operating Decision Maker (CODM). The following table presents the results of operations by reportable segment:</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80" w:type="dxa"/>
            <w:vAlign w:val="bottom"/>
          </w:tcPr>
          <w:p>
            <w:pPr>
              <w:spacing w:after="0"/>
              <w:rPr>
                <w:sz w:val="16"/>
                <w:szCs w:val="16"/>
                <w:color w:val="auto"/>
              </w:rPr>
            </w:pP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63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220,907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199,766</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140,925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126,804</w:t>
            </w: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27,058</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w:t>
            </w:r>
          </w:p>
        </w:tc>
      </w:tr>
      <w:tr>
        <w:trPr>
          <w:trHeight w:val="196"/>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40,409</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3"/>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605,452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662,353</w:t>
            </w: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411,523</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56,859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61,998</w:t>
            </w:r>
          </w:p>
        </w:tc>
      </w:tr>
      <w:tr>
        <w:trPr>
          <w:trHeight w:val="24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w:t>
            </w:r>
          </w:p>
        </w:tc>
      </w:tr>
      <w:tr>
        <w:trPr>
          <w:trHeight w:val="224"/>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114,839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9"/>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167,254</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113,392</w:t>
            </w: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39,736</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w:t>
            </w:r>
          </w:p>
        </w:tc>
      </w:tr>
      <w:tr>
        <w:trPr>
          <w:trHeight w:val="196"/>
        </w:trPr>
        <w:tc>
          <w:tcPr>
            <w:tcW w:w="6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3"/>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(65,692)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(46,054)</w:t>
            </w:r>
          </w:p>
        </w:tc>
      </w:tr>
      <w:tr>
        <w:trPr>
          <w:trHeight w:val="213"/>
        </w:trPr>
        <w:tc>
          <w:tcPr>
            <w:tcW w:w="630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 xml:space="preserve">Operating income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(65,692)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(46,054)</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3"/>
        </w:trPr>
        <w:tc>
          <w:tcPr>
            <w:tcW w:w="6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1,029,373</w:t>
            </w:r>
          </w:p>
        </w:tc>
      </w:tr>
      <w:tr>
        <w:trPr>
          <w:trHeight w:val="240"/>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651,719</w:t>
            </w:r>
          </w:p>
        </w:tc>
      </w:tr>
      <w:tr>
        <w:trPr>
          <w:trHeight w:val="246"/>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174,846</w:t>
            </w:r>
          </w:p>
        </w:tc>
      </w:tr>
      <w:tr>
        <w:trPr>
          <w:trHeight w:val="240"/>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34,916</w:t>
            </w:r>
          </w:p>
        </w:tc>
      </w:tr>
      <w:tr>
        <w:trPr>
          <w:trHeight w:val="224"/>
        </w:trPr>
        <w:tc>
          <w:tcPr>
            <w:tcW w:w="6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125,977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167,892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680" w:right="1220" w:hanging="6"/>
        <w:spacing w:after="0" w:line="234" w:lineRule="auto"/>
        <w:tabs>
          <w:tab w:leader="none" w:pos="812"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income for unallocated corporate consists of costs associated with departments such as senior executives, corporate accounting, legal, tax, human resources, treasury, and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14" w:name="page15"/>
    <w:bookmarkEnd w:id="14"/>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8"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color w:val="auto"/>
        </w:rPr>
        <w:t>Capital expenditures and depreciation and amortization (related to both intangible assets and certain assets acquired in business combinations) by reportable segment are as follows:</w:t>
      </w: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RMS</w:t>
            </w: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DSA</w:t>
            </w: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20" w:type="dxa"/>
            <w:vAlign w:val="bottom"/>
          </w:tcPr>
          <w:p>
            <w:pPr>
              <w:spacing w:after="0"/>
              <w:rPr>
                <w:sz w:val="16"/>
                <w:szCs w:val="16"/>
                <w:color w:val="auto"/>
              </w:rPr>
            </w:pPr>
          </w:p>
        </w:tc>
        <w:tc>
          <w:tcPr>
            <w:tcW w:w="10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6"/>
                <w:szCs w:val="16"/>
                <w:color w:val="auto"/>
              </w:rPr>
            </w:pPr>
          </w:p>
        </w:tc>
        <w:tc>
          <w:tcPr>
            <w:tcW w:w="10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4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660" w:type="dxa"/>
            <w:vAlign w:val="bottom"/>
          </w:tcPr>
          <w:p>
            <w:pPr>
              <w:spacing w:after="0"/>
              <w:rPr>
                <w:sz w:val="18"/>
                <w:szCs w:val="18"/>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193"/>
        </w:trPr>
        <w:tc>
          <w:tcPr>
            <w:tcW w:w="660" w:type="dxa"/>
            <w:vAlign w:val="bottom"/>
          </w:tcPr>
          <w:p>
            <w:pPr>
              <w:spacing w:after="0"/>
              <w:rPr>
                <w:sz w:val="16"/>
                <w:szCs w:val="16"/>
                <w:color w:val="auto"/>
              </w:rPr>
            </w:pPr>
          </w:p>
        </w:tc>
        <w:tc>
          <w:tcPr>
            <w:tcW w:w="20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660" w:type="dxa"/>
            <w:vAlign w:val="bottom"/>
          </w:tcPr>
          <w:p>
            <w:pPr>
              <w:spacing w:after="0"/>
              <w:rPr>
                <w:sz w:val="21"/>
                <w:szCs w:val="21"/>
                <w:color w:val="auto"/>
              </w:rPr>
            </w:pPr>
          </w:p>
        </w:tc>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30, 2024</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20,044</w:t>
            </w:r>
          </w:p>
        </w:tc>
        <w:tc>
          <w:tcPr>
            <w:tcW w:w="74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c>
          <w:tcPr>
            <w:tcW w:w="880" w:type="dxa"/>
            <w:vAlign w:val="bottom"/>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1,279</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79,144</w:t>
            </w:r>
          </w:p>
        </w:tc>
        <w:tc>
          <w:tcPr>
            <w:tcW w:w="1040" w:type="dxa"/>
            <w:vAlign w:val="bottom"/>
          </w:tcPr>
          <w:p>
            <w:pPr>
              <w:spacing w:after="0"/>
              <w:rPr>
                <w:sz w:val="21"/>
                <w:szCs w:val="21"/>
                <w:color w:val="auto"/>
              </w:rPr>
            </w:pPr>
          </w:p>
        </w:tc>
      </w:tr>
      <w:tr>
        <w:trPr>
          <w:trHeight w:val="233"/>
        </w:trPr>
        <w:tc>
          <w:tcPr>
            <w:tcW w:w="660" w:type="dxa"/>
            <w:vAlign w:val="bottom"/>
          </w:tcPr>
          <w:p>
            <w:pPr>
              <w:spacing w:after="0"/>
              <w:rPr>
                <w:sz w:val="20"/>
                <w:szCs w:val="20"/>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April 1, 2023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19,084</w:t>
            </w: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65,184</w:t>
            </w:r>
          </w:p>
        </w:tc>
        <w:tc>
          <w:tcPr>
            <w:tcW w:w="88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21,738</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869</w:t>
            </w: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106,875</w:t>
            </w:r>
          </w:p>
        </w:tc>
        <w:tc>
          <w:tcPr>
            <w:tcW w:w="1040" w:type="dxa"/>
            <w:vAlign w:val="bottom"/>
          </w:tcPr>
          <w:p>
            <w:pPr>
              <w:spacing w:after="0"/>
              <w:rPr>
                <w:sz w:val="20"/>
                <w:szCs w:val="20"/>
                <w:color w:val="auto"/>
              </w:rPr>
            </w:pPr>
          </w:p>
        </w:tc>
      </w:tr>
      <w:tr>
        <w:trPr>
          <w:trHeight w:val="226"/>
        </w:trPr>
        <w:tc>
          <w:tcPr>
            <w:tcW w:w="66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193"/>
        </w:trPr>
        <w:tc>
          <w:tcPr>
            <w:tcW w:w="660" w:type="dxa"/>
            <w:vAlign w:val="bottom"/>
          </w:tcPr>
          <w:p>
            <w:pPr>
              <w:spacing w:after="0"/>
              <w:rPr>
                <w:sz w:val="16"/>
                <w:szCs w:val="16"/>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660" w:type="dxa"/>
            <w:vAlign w:val="bottom"/>
          </w:tcPr>
          <w:p>
            <w:pPr>
              <w:spacing w:after="0"/>
              <w:rPr>
                <w:sz w:val="18"/>
                <w:szCs w:val="18"/>
                <w:color w:val="auto"/>
              </w:rPr>
            </w:pPr>
          </w:p>
        </w:tc>
        <w:tc>
          <w:tcPr>
            <w:tcW w:w="2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660" w:type="dxa"/>
            <w:vAlign w:val="bottom"/>
          </w:tcPr>
          <w:p>
            <w:pPr>
              <w:spacing w:after="0"/>
              <w:rPr>
                <w:sz w:val="20"/>
                <w:szCs w:val="20"/>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30, 2024</w:t>
            </w:r>
          </w:p>
        </w:tc>
        <w:tc>
          <w:tcPr>
            <w:tcW w:w="420" w:type="dxa"/>
            <w:vAlign w:val="bottom"/>
          </w:tcPr>
          <w:p>
            <w:pPr>
              <w:spacing w:after="0"/>
              <w:rPr>
                <w:sz w:val="20"/>
                <w:szCs w:val="20"/>
                <w:color w:val="auto"/>
              </w:rPr>
            </w:pPr>
          </w:p>
        </w:tc>
        <w:tc>
          <w:tcPr>
            <w:tcW w:w="90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18,123</w:t>
            </w:r>
          </w:p>
        </w:tc>
        <w:tc>
          <w:tcPr>
            <w:tcW w:w="74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45,789</w:t>
            </w:r>
          </w:p>
        </w:tc>
        <w:tc>
          <w:tcPr>
            <w:tcW w:w="88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19,805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1,640</w:t>
            </w:r>
          </w:p>
        </w:tc>
        <w:tc>
          <w:tcPr>
            <w:tcW w:w="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85,357</w:t>
            </w:r>
          </w:p>
        </w:tc>
        <w:tc>
          <w:tcPr>
            <w:tcW w:w="1040" w:type="dxa"/>
            <w:vAlign w:val="bottom"/>
          </w:tcPr>
          <w:p>
            <w:pPr>
              <w:spacing w:after="0"/>
              <w:rPr>
                <w:sz w:val="20"/>
                <w:szCs w:val="20"/>
                <w:color w:val="auto"/>
              </w:rPr>
            </w:pPr>
          </w:p>
        </w:tc>
      </w:tr>
      <w:tr>
        <w:trPr>
          <w:trHeight w:val="253"/>
        </w:trPr>
        <w:tc>
          <w:tcPr>
            <w:tcW w:w="660" w:type="dxa"/>
            <w:vAlign w:val="bottom"/>
          </w:tcPr>
          <w:p>
            <w:pPr>
              <w:spacing w:after="0"/>
              <w:rPr>
                <w:sz w:val="21"/>
                <w:szCs w:val="21"/>
                <w:color w:val="auto"/>
              </w:rPr>
            </w:pPr>
          </w:p>
        </w:tc>
        <w:tc>
          <w:tcPr>
            <w:tcW w:w="2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April 1, 2023</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13,489</w:t>
            </w:r>
          </w:p>
        </w:tc>
        <w:tc>
          <w:tcPr>
            <w:tcW w:w="7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42,450</w:t>
            </w:r>
          </w:p>
        </w:tc>
        <w:tc>
          <w:tcPr>
            <w:tcW w:w="8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20,084</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1,046</w:t>
            </w:r>
          </w:p>
        </w:tc>
        <w:tc>
          <w:tcPr>
            <w:tcW w:w="24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77,069</w:t>
            </w:r>
          </w:p>
        </w:tc>
        <w:tc>
          <w:tcPr>
            <w:tcW w:w="1040" w:type="dxa"/>
            <w:vAlign w:val="bottom"/>
          </w:tcPr>
          <w:p>
            <w:pPr>
              <w:spacing w:after="0"/>
              <w:rPr>
                <w:sz w:val="21"/>
                <w:szCs w:val="21"/>
                <w:color w:val="auto"/>
              </w:rPr>
            </w:pPr>
          </w:p>
        </w:tc>
      </w:tr>
      <w:tr>
        <w:trPr>
          <w:trHeight w:val="418"/>
        </w:trPr>
        <w:tc>
          <w:tcPr>
            <w:tcW w:w="31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w w:val="99"/>
              </w:rPr>
              <w:t>Revenue by geographic area is as follows:</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U.S.</w:t>
            </w: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5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00" w:type="dxa"/>
            <w:vAlign w:val="bottom"/>
            <w:gridSpan w:val="3"/>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50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9"/>
                <w:szCs w:val="19"/>
                <w:color w:val="auto"/>
              </w:rPr>
            </w:pP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6"/>
        </w:trPr>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6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660" w:type="dxa"/>
            <w:vAlign w:val="bottom"/>
          </w:tcPr>
          <w:p>
            <w:pPr>
              <w:spacing w:after="0"/>
              <w:rPr>
                <w:sz w:val="18"/>
                <w:szCs w:val="18"/>
                <w:color w:val="auto"/>
              </w:rPr>
            </w:pPr>
          </w:p>
        </w:tc>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3"/>
        </w:trPr>
        <w:tc>
          <w:tcPr>
            <w:tcW w:w="660" w:type="dxa"/>
            <w:vAlign w:val="bottom"/>
          </w:tcPr>
          <w:p>
            <w:pPr>
              <w:spacing w:after="0"/>
              <w:rPr>
                <w:sz w:val="20"/>
                <w:szCs w:val="20"/>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30, 2024</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562,317</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276,319</w:t>
            </w:r>
          </w:p>
        </w:tc>
        <w:tc>
          <w:tcPr>
            <w:tcW w:w="5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110,401</w:t>
            </w: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16,751</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1,011,560</w:t>
            </w:r>
          </w:p>
        </w:tc>
      </w:tr>
      <w:tr>
        <w:trPr>
          <w:trHeight w:val="253"/>
        </w:trPr>
        <w:tc>
          <w:tcPr>
            <w:tcW w:w="660" w:type="dxa"/>
            <w:vAlign w:val="bottom"/>
          </w:tcPr>
          <w:p>
            <w:pPr>
              <w:spacing w:after="0"/>
              <w:rPr>
                <w:sz w:val="21"/>
                <w:szCs w:val="21"/>
                <w:color w:val="auto"/>
              </w:rPr>
            </w:pPr>
          </w:p>
        </w:tc>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April 1, 2023</w:t>
            </w:r>
          </w:p>
        </w:tc>
        <w:tc>
          <w:tcPr>
            <w:tcW w:w="4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605,441</w:t>
            </w: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267,703</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110,606</w:t>
            </w:r>
          </w:p>
        </w:tc>
        <w:tc>
          <w:tcPr>
            <w:tcW w:w="6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42,813</w:t>
            </w: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2,810</w:t>
            </w:r>
          </w:p>
        </w:tc>
        <w:tc>
          <w:tcPr>
            <w:tcW w:w="340" w:type="dxa"/>
            <w:vAlign w:val="bottom"/>
            <w:tcBorders>
              <w:right w:val="single" w:sz="8" w:color="CCEEFF"/>
            </w:tcBorders>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1,029,373</w:t>
            </w:r>
          </w:p>
        </w:tc>
      </w:tr>
    </w:tbl>
    <w:p>
      <w:pPr>
        <w:spacing w:after="0" w:line="17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Included in the Other category above are operations located in Brazil, Israel, and Mauritius. Revenue represents sales originating in entities physically located in the identified geographic area.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165" w:lineRule="exact"/>
        <w:rPr>
          <w:sz w:val="20"/>
          <w:szCs w:val="20"/>
          <w:color w:val="auto"/>
        </w:rPr>
      </w:pPr>
    </w:p>
    <w:p>
      <w:pPr>
        <w:ind w:left="3120"/>
        <w:spacing w:after="0"/>
        <w:tabs>
          <w:tab w:leader="none" w:pos="4320" w:val="left"/>
          <w:tab w:leader="none" w:pos="5600" w:val="left"/>
          <w:tab w:leader="none" w:pos="6780" w:val="left"/>
          <w:tab w:leader="none" w:pos="8260" w:val="left"/>
          <w:tab w:leader="none" w:pos="936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Europe</w:t>
      </w:r>
      <w:r>
        <w:rPr>
          <w:sz w:val="20"/>
          <w:szCs w:val="20"/>
          <w:color w:val="auto"/>
        </w:rPr>
        <w:tab/>
      </w:r>
      <w:r>
        <w:rPr>
          <w:rFonts w:ascii="Times New Roman" w:cs="Times New Roman" w:eastAsia="Times New Roman" w:hAnsi="Times New Roman"/>
          <w:sz w:val="14"/>
          <w:szCs w:val="14"/>
          <w:b w:val="1"/>
          <w:bCs w:val="1"/>
          <w:color w:val="auto"/>
        </w:rPr>
        <w:t>Canada</w:t>
      </w:r>
      <w:r>
        <w:rPr>
          <w:sz w:val="20"/>
          <w:szCs w:val="20"/>
          <w:color w:val="auto"/>
        </w:rPr>
        <w:tab/>
      </w:r>
      <w:r>
        <w:rPr>
          <w:rFonts w:ascii="Times New Roman" w:cs="Times New Roman" w:eastAsia="Times New Roman" w:hAnsi="Times New Roman"/>
          <w:sz w:val="14"/>
          <w:szCs w:val="14"/>
          <w:b w:val="1"/>
          <w:bCs w:val="1"/>
          <w:color w:val="auto"/>
        </w:rPr>
        <w:t>Asia Pacific</w:t>
      </w:r>
      <w:r>
        <w:rPr>
          <w:sz w:val="20"/>
          <w:szCs w:val="20"/>
          <w:color w:val="auto"/>
        </w:rPr>
        <w:tab/>
      </w:r>
      <w:r>
        <w:rPr>
          <w:rFonts w:ascii="Times New Roman" w:cs="Times New Roman" w:eastAsia="Times New Roman" w:hAnsi="Times New Roman"/>
          <w:sz w:val="14"/>
          <w:szCs w:val="14"/>
          <w:b w:val="1"/>
          <w:bCs w:val="1"/>
          <w:color w:val="auto"/>
        </w:rPr>
        <w:t>Other</w:t>
      </w:r>
      <w:r>
        <w:rPr>
          <w:sz w:val="20"/>
          <w:szCs w:val="20"/>
          <w:color w:val="auto"/>
        </w:rPr>
        <w:tab/>
      </w:r>
      <w:r>
        <w:rPr>
          <w:rFonts w:ascii="Times New Roman" w:cs="Times New Roman" w:eastAsia="Times New Roman" w:hAnsi="Times New Roman"/>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41910</wp:posOffset>
            </wp:positionV>
            <wp:extent cx="4920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pacing w:after="0" w:line="6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41910</wp:posOffset>
            </wp:positionV>
            <wp:extent cx="61893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89345" cy="146050"/>
                    </a:xfrm>
                    <a:prstGeom prst="rect">
                      <a:avLst/>
                    </a:prstGeom>
                    <a:noFill/>
                  </pic:spPr>
                </pic:pic>
              </a:graphicData>
            </a:graphic>
          </wp:anchor>
        </w:drawing>
      </w:r>
    </w:p>
    <w:p>
      <w:pPr>
        <w:spacing w:after="0" w:line="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79"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30,</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954,225</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404,657</w:t>
            </w: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153,443</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71,076</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1,618,708</w:t>
            </w:r>
          </w:p>
        </w:tc>
      </w:tr>
      <w:tr>
        <w:trPr>
          <w:trHeight w:val="253"/>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30, 2023</w:t>
            </w: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964,176</w:t>
            </w: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407,375</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157,483</w:t>
            </w: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74,605</w:t>
            </w: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36,102</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1,639,741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CASH FLOW INFORMATION</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6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8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8"/>
              </w:rPr>
              <w:t>April 1, 2023</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18,728</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13,618</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38,258</w:t>
            </w:r>
          </w:p>
        </w:tc>
        <w:tc>
          <w:tcPr>
            <w:tcW w:w="48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36,807</w:t>
            </w: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Purchases of Property, plant and equipment included in Accounts payable and Accrued</w:t>
            </w: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23,911</w:t>
            </w:r>
          </w:p>
        </w:tc>
        <w:tc>
          <w:tcPr>
            <w:tcW w:w="4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43,116</w:t>
            </w:r>
          </w:p>
        </w:tc>
        <w:tc>
          <w:tcPr>
            <w:tcW w:w="0" w:type="dxa"/>
            <w:vAlign w:val="bottom"/>
          </w:tcPr>
          <w:p>
            <w:pPr>
              <w:spacing w:after="0"/>
              <w:rPr>
                <w:sz w:val="1"/>
                <w:szCs w:val="1"/>
                <w:color w:val="auto"/>
              </w:rPr>
            </w:pPr>
          </w:p>
        </w:tc>
      </w:tr>
      <w:tr>
        <w:trPr>
          <w:trHeight w:val="21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3,159</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is included in the accompanying unaudited balance sheet as follows: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20" w:type="dxa"/>
            <w:vAlign w:val="bottom"/>
          </w:tcPr>
          <w:p>
            <w:pPr>
              <w:spacing w:after="0"/>
              <w:rPr>
                <w:sz w:val="16"/>
                <w:szCs w:val="16"/>
                <w:color w:val="auto"/>
              </w:rPr>
            </w:pPr>
          </w:p>
        </w:tc>
        <w:tc>
          <w:tcPr>
            <w:tcW w:w="170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00" w:type="dxa"/>
            <w:vAlign w:val="bottom"/>
          </w:tcPr>
          <w:p>
            <w:pPr>
              <w:spacing w:after="0"/>
              <w:rPr>
                <w:sz w:val="16"/>
                <w:szCs w:val="16"/>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3"/>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327,039</w:t>
            </w:r>
          </w:p>
        </w:tc>
        <w:tc>
          <w:tcPr>
            <w:tcW w:w="14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276,771</w:t>
            </w:r>
          </w:p>
        </w:tc>
      </w:tr>
      <w:tr>
        <w:trPr>
          <w:trHeight w:val="21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r>
      <w:tr>
        <w:trPr>
          <w:trHeight w:val="21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338,535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284,480</w:t>
            </w:r>
          </w:p>
        </w:tc>
      </w:tr>
    </w:tbl>
    <w:p>
      <w:pPr>
        <w:spacing w:after="0" w:line="200" w:lineRule="exact"/>
        <w:rPr>
          <w:sz w:val="20"/>
          <w:szCs w:val="20"/>
          <w:color w:val="auto"/>
        </w:rPr>
      </w:pPr>
    </w:p>
    <w:p>
      <w:pPr>
        <w:sectPr>
          <w:pgSz w:w="11900" w:h="16838" w:orient="portrait"/>
          <w:cols w:equalWidth="0" w:num="1">
            <w:col w:w="11060"/>
          </w:cols>
          <w:pgMar w:left="320" w:top="117" w:right="51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type w:val="continuous"/>
        </w:sectPr>
      </w:pPr>
    </w:p>
    <w:bookmarkStart w:id="15" w:name="page16"/>
    <w:bookmarkEnd w:id="1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inventories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5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42,296</w:t>
            </w:r>
          </w:p>
        </w:tc>
      </w:tr>
      <w:tr>
        <w:trPr>
          <w:trHeight w:val="23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59,727</w:t>
            </w:r>
          </w:p>
        </w:tc>
      </w:tr>
      <w:tr>
        <w:trPr>
          <w:trHeight w:val="24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278,236</w:t>
            </w: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380,259</w:t>
            </w:r>
          </w:p>
        </w:tc>
      </w:tr>
      <w:tr>
        <w:trPr>
          <w:trHeight w:val="21"/>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net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4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86"/>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79,546</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1,053,915</w:t>
            </w: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984,867</w:t>
            </w:r>
          </w:p>
        </w:tc>
      </w:tr>
      <w:tr>
        <w:trPr>
          <w:trHeight w:val="23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348,558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366,556</w:t>
            </w:r>
          </w:p>
        </w:tc>
      </w:tr>
      <w:tr>
        <w:trPr>
          <w:trHeight w:val="25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31,284</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254,413</w:t>
            </w:r>
          </w:p>
        </w:tc>
      </w:tr>
      <w:tr>
        <w:trPr>
          <w:trHeight w:val="24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r>
      <w:tr>
        <w:trPr>
          <w:trHeight w:val="23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197,723</w:t>
            </w:r>
          </w:p>
        </w:tc>
      </w:tr>
      <w:tr>
        <w:trPr>
          <w:trHeight w:val="24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2,983,096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2,975,050</w:t>
            </w:r>
          </w:p>
        </w:tc>
      </w:tr>
      <w:tr>
        <w:trPr>
          <w:trHeight w:val="237"/>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(1,364,388)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(1,335,309)</w:t>
            </w:r>
          </w:p>
        </w:tc>
      </w:tr>
      <w:tr>
        <w:trPr>
          <w:trHeight w:val="268"/>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1,639,741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00" w:hanging="126"/>
        <w:spacing w:after="0"/>
        <w:tabs>
          <w:tab w:leader="none" w:pos="80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balances include assets under finance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in the three months ended March 30, 2024 and April 1, 2023 was $45.7 million and $42.2 million, respectively.</w:t>
      </w:r>
    </w:p>
    <w:p>
      <w:pPr>
        <w:spacing w:after="0" w:line="125" w:lineRule="exact"/>
        <w:rPr>
          <w:sz w:val="20"/>
          <w:szCs w:val="20"/>
          <w:color w:val="auto"/>
        </w:rPr>
      </w:pPr>
    </w:p>
    <w:p>
      <w:pPr>
        <w:ind w:right="4599"/>
        <w:spacing w:after="0" w:line="405" w:lineRule="auto"/>
        <w:rPr>
          <w:sz w:val="20"/>
          <w:szCs w:val="20"/>
          <w:color w:val="auto"/>
        </w:rPr>
      </w:pPr>
      <w:r>
        <w:rPr>
          <w:rFonts w:ascii="Times New Roman" w:cs="Times New Roman" w:eastAsia="Times New Roman" w:hAnsi="Times New Roman"/>
          <w:sz w:val="18"/>
          <w:szCs w:val="18"/>
          <w:b w:val="1"/>
          <w:bCs w:val="1"/>
          <w:color w:val="auto"/>
        </w:rPr>
        <w:t xml:space="preserve">8. VENTURE CAPITAL AND STRATEGIC EQUITY INVESTMENTS </w:t>
      </w:r>
      <w:r>
        <w:rPr>
          <w:rFonts w:ascii="Times New Roman" w:cs="Times New Roman" w:eastAsia="Times New Roman" w:hAnsi="Times New Roman"/>
          <w:sz w:val="18"/>
          <w:szCs w:val="18"/>
          <w:color w:val="auto"/>
        </w:rPr>
        <w:t>Venture capital investments are summarized below:</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5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80" w:type="dxa"/>
            <w:vAlign w:val="bottom"/>
          </w:tcPr>
          <w:p>
            <w:pPr>
              <w:spacing w:after="0"/>
              <w:rPr>
                <w:sz w:val="16"/>
                <w:szCs w:val="16"/>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5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129,012</w:t>
            </w:r>
          </w:p>
        </w:tc>
      </w:tr>
      <w:tr>
        <w:trPr>
          <w:trHeight w:val="213"/>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(7,217)</w:t>
            </w:r>
          </w:p>
        </w:tc>
      </w:tr>
      <w:tr>
        <w:trPr>
          <w:trHeight w:val="213"/>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(6,848)</w:t>
            </w: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2"/>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123,708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118,421</w:t>
            </w: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6" w:name="page17"/>
    <w:bookmarkEnd w:id="1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also invests, with minority positions, directly in equity of predominantly privately held companies. Strategic investments are summarized below:</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5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380" w:type="dxa"/>
            <w:vAlign w:val="bottom"/>
          </w:tcPr>
          <w:p>
            <w:pPr>
              <w:spacing w:after="0"/>
              <w:rPr>
                <w:sz w:val="16"/>
                <w:szCs w:val="16"/>
                <w:color w:val="auto"/>
              </w:rPr>
            </w:pPr>
          </w:p>
        </w:tc>
        <w:tc>
          <w:tcPr>
            <w:tcW w:w="11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5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5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182,590</w:t>
            </w:r>
          </w:p>
        </w:tc>
      </w:tr>
      <w:tr>
        <w:trPr>
          <w:trHeight w:val="213"/>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9,266</w:t>
            </w:r>
          </w:p>
        </w:tc>
      </w:tr>
      <w:tr>
        <w:trPr>
          <w:trHeight w:val="21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r>
      <w:tr>
        <w:trPr>
          <w:trHeight w:val="213"/>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(loss)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r>
      <w:tr>
        <w:trPr>
          <w:trHeight w:val="219"/>
        </w:trPr>
        <w:tc>
          <w:tcPr>
            <w:tcW w:w="52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Reduction for acquisition of entity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w:t>
            </w:r>
          </w:p>
        </w:tc>
      </w:tr>
      <w:tr>
        <w:trPr>
          <w:trHeight w:val="213"/>
        </w:trPr>
        <w:tc>
          <w:tcPr>
            <w:tcW w:w="5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(3,275)</w:t>
            </w: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175,366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840" w:hanging="166"/>
        <w:spacing w:after="0"/>
        <w:tabs>
          <w:tab w:leader="none" w:pos="840" w:val="left"/>
        </w:tabs>
        <w:numPr>
          <w:ilvl w:val="1"/>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Note 2. Acquisitions for further discussion on the SAMDI acquisition.</w:t>
      </w:r>
    </w:p>
    <w:p>
      <w:pPr>
        <w:spacing w:after="0" w:line="186"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-382270</wp:posOffset>
            </wp:positionV>
            <wp:extent cx="54006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00675" cy="13716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82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 deposit</w:t>
            </w:r>
          </w:p>
        </w:tc>
        <w:tc>
          <w:tcPr>
            <w:tcW w:w="98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10,068</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0"/>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44,617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44,617</w:t>
            </w:r>
          </w:p>
        </w:tc>
      </w:tr>
      <w:tr>
        <w:trPr>
          <w:trHeight w:val="243"/>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9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24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56,448</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56,448</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0"/>
        </w:trPr>
        <w:tc>
          <w:tcPr>
            <w:tcW w:w="4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within the fair value hierarchy, if any, at the end of each quarter. During the three months ended March 30, 2024, there were no transfers between levels.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82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8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40,912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40,912</w:t>
            </w:r>
          </w:p>
        </w:tc>
      </w:tr>
      <w:tr>
        <w:trPr>
          <w:trHeight w:val="24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Interest rate swap</w:t>
            </w: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260"/>
        </w:trPr>
        <w:tc>
          <w:tcPr>
            <w:tcW w:w="4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41,907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8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0"/>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59"/>
        </w:trPr>
        <w:tc>
          <w:tcPr>
            <w:tcW w:w="4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30, 2023, there were no transfers between levels.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contingent consideration related to the Company’s acquisitions.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w:t>
            </w:r>
          </w:p>
        </w:tc>
      </w:tr>
      <w:tr>
        <w:trPr>
          <w:trHeight w:val="240"/>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w:t>
            </w:r>
          </w:p>
        </w:tc>
        <w:tc>
          <w:tcPr>
            <w:tcW w:w="2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r>
      <w:tr>
        <w:trPr>
          <w:trHeight w:val="24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gains or losses (realized/unrealized):</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6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obligations through valuation models, such as probability-weighted and option pricing models, which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$55 million, of which the value accrued as of March 30, 2024 is $33 million as the probability of achieving the maximum target is estimated to be 60%. The volatility and weighted average cost of capital is approximately 7% and 9%, respectively. Increases or decreases in these assumptions may result in a higher or lower fair value measurement,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exposed to market fluctuations in interest rates as well as variability in foreign exchange rates. The Company has an interest rate swap with a notional amount of $500 million maturing November 2, 2024 to manage interest rate fluctuation related to floating rate borrowings under the Credit Facility, at a fixed rate of 4.65%.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book value of the Company’s revolving loans, which are variable rate loans carried at amortized cost, approximates the fair value based on current market pricing of similar debt. As the fair value is based on significant other observable inputs, including current interest and foreign currency exchange rates, it is deemed to be Level 2 within the fair value hierarchy.</w:t>
      </w:r>
    </w:p>
    <w:p>
      <w:pPr>
        <w:spacing w:after="0" w:line="6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and fair value of the Company’s Senior Notes is summarized below:</w:t>
      </w:r>
    </w:p>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234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478,100</w:t>
            </w: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160" w:type="dxa"/>
            <w:vAlign w:val="bottom"/>
          </w:tcPr>
          <w:p>
            <w:pPr>
              <w:spacing w:after="0"/>
              <w:rPr>
                <w:sz w:val="18"/>
                <w:szCs w:val="18"/>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458,100</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449,350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goodwill:</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RMS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DSA </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460" w:type="dxa"/>
            <w:vAlign w:val="bottom"/>
          </w:tcPr>
          <w:p>
            <w:pPr>
              <w:spacing w:after="0"/>
              <w:rPr>
                <w:sz w:val="16"/>
                <w:szCs w:val="16"/>
                <w:color w:val="auto"/>
              </w:rPr>
            </w:pPr>
          </w:p>
        </w:tc>
        <w:tc>
          <w:tcPr>
            <w:tcW w:w="150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1240" w:type="dxa"/>
            <w:vAlign w:val="bottom"/>
            <w:shd w:val="clear" w:color="auto" w:fill="CCEEFF"/>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1,662,434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3,095,045</w:t>
            </w:r>
          </w:p>
        </w:tc>
      </w:tr>
      <w:tr>
        <w:trPr>
          <w:trHeight w:val="213"/>
        </w:trPr>
        <w:tc>
          <w:tcPr>
            <w:tcW w:w="2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1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497</w:t>
            </w:r>
          </w:p>
        </w:tc>
      </w:tr>
      <w:tr>
        <w:trPr>
          <w:trHeight w:val="219"/>
        </w:trPr>
        <w:tc>
          <w:tcPr>
            <w:tcW w:w="2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(25,301)</w:t>
            </w:r>
          </w:p>
        </w:tc>
      </w:tr>
      <w:tr>
        <w:trPr>
          <w:trHeight w:val="204"/>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30, 2024</w:t>
            </w:r>
          </w:p>
        </w:tc>
        <w:tc>
          <w:tcPr>
            <w:tcW w:w="1240" w:type="dxa"/>
            <w:vAlign w:val="bottom"/>
          </w:tcPr>
          <w:p>
            <w:pPr>
              <w:jc w:val="right"/>
              <w:ind w:right="106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497,067</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1,641,591</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931,583</w:t>
            </w:r>
          </w:p>
        </w:tc>
        <w:tc>
          <w:tcPr>
            <w:tcW w:w="1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3,070,241</w:t>
            </w:r>
          </w:p>
        </w:tc>
      </w:tr>
    </w:tbl>
    <w:p>
      <w:pPr>
        <w:ind w:left="820" w:hanging="146"/>
        <w:spacing w:after="0"/>
        <w:tabs>
          <w:tab w:leader="none" w:pos="82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DSA includes accumulated impairment losses of $1 billion, which were recognized in fiscal years 2008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-97790</wp:posOffset>
            </wp:positionV>
            <wp:extent cx="654050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0500" cy="12890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goodwill during the three months ended March 30, 2024 related to foreign exchange in the DSA and Manufacturing reportable segments.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intangible assets, net by major class: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5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1"/>
        </w:trPr>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0"/>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3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6"/>
                <w:szCs w:val="16"/>
                <w:color w:val="auto"/>
              </w:rPr>
            </w:pPr>
          </w:p>
        </w:tc>
        <w:tc>
          <w:tcPr>
            <w:tcW w:w="9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25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1,515,021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(739,260)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775,761</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1,528,780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807,458</w:t>
            </w:r>
          </w:p>
        </w:tc>
      </w:tr>
      <w:tr>
        <w:trPr>
          <w:trHeight w:val="23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28,140</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30,426</w:t>
            </w:r>
          </w:p>
        </w:tc>
      </w:tr>
      <w:tr>
        <w:trPr>
          <w:trHeight w:val="25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r>
      <w:tr>
        <w:trPr>
          <w:trHeight w:val="23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4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16,102</w:t>
            </w:r>
          </w:p>
        </w:tc>
        <w:tc>
          <w:tcPr>
            <w:tcW w:w="2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17,934</w:t>
            </w:r>
          </w:p>
        </w:tc>
      </w:tr>
      <w:tr>
        <w:trPr>
          <w:trHeight w:val="243"/>
        </w:trPr>
        <w:tc>
          <w:tcPr>
            <w:tcW w:w="2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1,713,953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(886,315)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827,638</w:t>
            </w:r>
          </w:p>
        </w:tc>
        <w:tc>
          <w:tcPr>
            <w:tcW w:w="2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1,729,559</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(865,508)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864,051</w:t>
            </w:r>
          </w:p>
        </w:tc>
      </w:tr>
      <w:tr>
        <w:trPr>
          <w:trHeight w:val="21"/>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intangible assets, net during the three months ended March 30, 2024 related to normal amortization over the useful lives.</w:t>
      </w:r>
    </w:p>
    <w:p>
      <w:pPr>
        <w:spacing w:after="0" w:line="117"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Amortization expense of definite-lived intangible assets for three months ended March 30, 2024 and April 1, 2023 was $32.6 million and $34.9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 AND OTHER FINANCING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and finance leases consists of the following:</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4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facility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1,129,243</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1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28,550</w:t>
            </w:r>
          </w:p>
        </w:tc>
      </w:tr>
      <w:tr>
        <w:trPr>
          <w:trHeight w:val="23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2,676,746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2,667,368</w:t>
            </w: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24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w:t>
            </w:r>
          </w:p>
        </w:tc>
      </w:tr>
      <w:tr>
        <w:trPr>
          <w:trHeight w:val="22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2,661,798</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(14,651)</w:t>
            </w:r>
          </w:p>
        </w:tc>
      </w:tr>
      <w:tr>
        <w:trPr>
          <w:trHeight w:val="212"/>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2,660,459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2,647,147</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and December 30, 2023, the weighted average interest rate on the Company’s debt was 4.97% and 4.93%,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and December 30, 2023, the Company had $21.2 million and $21.6 million, respectively, in outstanding letters of credit.</w:t>
      </w:r>
    </w:p>
    <w:p>
      <w:pPr>
        <w:spacing w:after="0" w:line="200" w:lineRule="exact"/>
        <w:rPr>
          <w:sz w:val="20"/>
          <w:szCs w:val="20"/>
          <w:color w:val="auto"/>
        </w:rPr>
      </w:pPr>
    </w:p>
    <w:p>
      <w:pPr>
        <w:spacing w:after="0" w:line="36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19" w:name="page20"/>
    <w:bookmarkEnd w:id="19"/>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AND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26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64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16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103,954</w:t>
            </w:r>
          </w:p>
        </w:tc>
      </w:tr>
      <w:tr>
        <w:trPr>
          <w:trHeight w:val="24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3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72,960</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103,131</w:t>
            </w:r>
          </w:p>
        </w:tc>
      </w:tr>
      <w:tr>
        <w:trPr>
          <w:trHeight w:val="25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Less: Adjustment of redeemable noncontrolling interest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 xml:space="preserve">Less: Incremental dividends attributable to noncontrolling interest holders </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67,329</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51,097</w:t>
            </w:r>
          </w:p>
        </w:tc>
      </w:tr>
      <w:tr>
        <w:trPr>
          <w:trHeight w:val="25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6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2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51,842</w:t>
            </w: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1"/>
                <w:szCs w:val="21"/>
                <w:color w:val="auto"/>
                <w:vertAlign w:val="superscript"/>
              </w:rPr>
              <w:t>(3)</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bl>
    <w:p>
      <w:pPr>
        <w:spacing w:after="0" w:line="112" w:lineRule="exact"/>
        <w:rPr>
          <w:sz w:val="20"/>
          <w:szCs w:val="20"/>
          <w:color w:val="auto"/>
        </w:rPr>
      </w:pPr>
    </w:p>
    <w:p>
      <w:pPr>
        <w:ind w:left="800" w:hanging="126"/>
        <w:spacing w:after="0"/>
        <w:tabs>
          <w:tab w:leader="none" w:pos="8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adjustments of redeemable noncontrolling interest that impact retained earnings.</w:t>
      </w:r>
    </w:p>
    <w:p>
      <w:pPr>
        <w:spacing w:after="0" w:line="59" w:lineRule="exact"/>
        <w:rPr>
          <w:rFonts w:ascii="Times New Roman" w:cs="Times New Roman" w:eastAsia="Times New Roman" w:hAnsi="Times New Roman"/>
          <w:sz w:val="16"/>
          <w:szCs w:val="16"/>
          <w:color w:val="auto"/>
          <w:vertAlign w:val="superscript"/>
        </w:rPr>
      </w:pPr>
    </w:p>
    <w:p>
      <w:pPr>
        <w:ind w:left="800" w:hanging="126"/>
        <w:spacing w:after="0" w:line="227" w:lineRule="auto"/>
        <w:tabs>
          <w:tab w:leader="none" w:pos="80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incremental undeclared dividends attributable to Noveprim noncontrolling interest holders who are entitled to preferential dividends for fiscal year 2024.</w:t>
      </w:r>
    </w:p>
    <w:p>
      <w:pPr>
        <w:spacing w:after="0" w:line="55" w:lineRule="exact"/>
        <w:rPr>
          <w:rFonts w:ascii="Times New Roman" w:cs="Times New Roman" w:eastAsia="Times New Roman" w:hAnsi="Times New Roman"/>
          <w:sz w:val="16"/>
          <w:szCs w:val="16"/>
          <w:color w:val="auto"/>
          <w:vertAlign w:val="superscript"/>
        </w:rPr>
      </w:pPr>
    </w:p>
    <w:p>
      <w:pPr>
        <w:ind w:left="840" w:right="680" w:hanging="166"/>
        <w:spacing w:after="0" w:line="248" w:lineRule="auto"/>
        <w:tabs>
          <w:tab w:leader="none" w:pos="81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common stock equivalents were outstanding for the periods presented, but were not included in the computation of diluted EPS for those periods because their inclusion would have had an anti-dilutive effect.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authorized a $1.3 billion stock repurchase program. As of March 30, 2024, the Company had $129.1 million remaining on the authorized stock repurchase program.</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plans permit the netting of common stock upon vesting of RSUs and PSUs in order to satisfy individual statutory tax withholding requirements. The Company acquired shares of approximately 0.1 million in the three months ended March 30, 2024 and three months ended April 1, 2023, for $9.4 million and $19.0 million, respectively, from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each component of accumulated other comprehensive income (loss), net of income taxes,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(Loss) Gain on Cash</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Flow Hedge</w:t>
            </w:r>
          </w:p>
        </w:tc>
        <w:tc>
          <w:tcPr>
            <w:tcW w:w="30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6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5"/>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(196,427)</w:t>
            </w:r>
          </w:p>
        </w:tc>
      </w:tr>
      <w:tr>
        <w:trPr>
          <w:trHeight w:val="236"/>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(60,077)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(58,965)</w:t>
            </w:r>
          </w:p>
        </w:tc>
      </w:tr>
      <w:tr>
        <w:trPr>
          <w:trHeight w:val="24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(58,965)</w:t>
            </w:r>
          </w:p>
        </w:tc>
      </w:tr>
      <w:tr>
        <w:trPr>
          <w:trHeight w:val="237"/>
        </w:trPr>
        <w:tc>
          <w:tcPr>
            <w:tcW w:w="4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(5,473)</w:t>
            </w:r>
          </w:p>
        </w:tc>
      </w:tr>
      <w:tr>
        <w:trPr>
          <w:trHeight w:val="26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30,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(249,919)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Through March 30, 2024, the Company holds several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unaudited condensed consolidated balance sheets, which is presented above the equity section and below liabilities.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available to common shareholders used in the calculation of earnings per common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holds a 90% ownership interest in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Additionally, the 10% noncontrolling interest holders may receive a dividend disproportionate to their equity ownership, of which the fair value of $8 million as of the acquisition date was recorded within the redeemable noncontrolling interest. Through March 30, 2024, incremental dividends based on Noveprim statutory net income attributed to the redeemable noncontrolling interest holders of $5.2 million reduced net income available to common shareholders used in the calculation of earnings per common share. The redemption value is accreted to the put purchase price of $54.0 million using the interest method through December 2030. As of March 30, 2024, the redemption value of $45.8 million exceeded both the carrying value and fair value, resulting in both an adjustment to additional paid in capital of $1.7 million and an adjustment to retained earnings of $0.4 million,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redeemable noncontrolling interest</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2019, the Company acquired an 80% equity interest in a subsidiary, which included a 20% redeemable noncontrolling interest. In June 2022, the Company purchased an additional 10% interest in the subsidiary for $15.0 million, resulting in a remaining noncontrolling interest of 10%. Beginning in 2024, the Company has the right to purchase, and the noncontrolling interest holders have the right to sell, the remaining 10% equity interest at its appraised value. The redemption value is measured at the greater of the appraised value or a predetermined floor. The amount that the Company could be required to pay to purchase the remaining 10% equity interest is not limited. As of March 30, 2024, the redemption value of $12.0 million exceeded the carrying value, resulting in an adjustment to additional paid in capital of $2.8 million. During the second quarter of fiscal 2024, the Company acquired the remaining 10% for $12.0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Vital River</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held a 92% ownership interest in Vital River, a commercial provider of research models and related services in China as of December 31, 2022. The Company had the right to purchase, and the noncontrolling interest holders had the right to sell, the remaining 8% equity interest at a contractually defined redemption value, subject to a redemption floor. The amount that the Company could be required to pay to purchase the remaining 8% equity interest was not limited. During the fourth quarter of fiscal 2023, the Company acquired the remaining 8% and paid $4.8 million of the total $24.4 million due. The remaining purchase price payable was included in Accrued liabilities within the Company’s unaudited condensed consolidated balance sheet as of March 30, 2024 and December 30, 2023 and is expected to be paid during fiscal year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Nonredeemable Noncontrolling Interest</w:t>
      </w:r>
    </w:p>
    <w:p>
      <w:pPr>
        <w:spacing w:after="0" w:line="121"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an entity whose financial results are consolidated in the Company’s unaudited condensed consolidated financial statements, as it has the ability to exercise control over this entity. The interest of the noncontrolling party in this entity has been recorded as nonredeemable noncontrolling interest within Equity in the accompanying unaudited condensed consolidated balance sheets. The activity within the nonredeemable noncontrolling interest was not significant during the three months ended March 30, 2024 and April 1, 2023.</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30, 2024 and April 1, 2023 were 24.8% and 20.7%, respectively. The increase in the effective tax rate from the corresponding prior year period was primarily attributable to unfavorable tax effects from stock-based compensation deductions in the three months ended March 30, 2024.</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30, 2024, the Company’s unrecognized tax benefits increased by $0.7 million to $23.4 million, primarily due to increases in research and development tax credit reserves. For the three months ended March 30, 2024, the amount of unrecognized income tax benefits that would impact the effective tax rate increased by $0.4 million to $20.7 million for the same reasons discussed above. The accrued interest on unrecognized tax benefits was $1.4 million as of March 30, 2024. The Company estimates that it is reasonably possible that the unrecognized tax benefits will decrease by approximately $5 million over the next twelve-month period, primarily due to audit settlements and expiring statutes of limitations.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prepaid and accrued tax positions are as follows: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3"/>
                <w:szCs w:val="13"/>
                <w:color w:val="auto"/>
              </w:rPr>
            </w:pPr>
          </w:p>
        </w:tc>
        <w:tc>
          <w:tcPr>
            <w:tcW w:w="14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3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Affected Line Item in the Unaudited Condensed</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income tax</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60,311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59,715</w:t>
            </w:r>
          </w:p>
        </w:tc>
        <w:tc>
          <w:tcPr>
            <w:tcW w:w="3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assets</w:t>
            </w: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20"/>
                <w:szCs w:val="20"/>
                <w:color w:val="auto"/>
              </w:rPr>
            </w:pPr>
          </w:p>
        </w:tc>
        <w:tc>
          <w:tcPr>
            <w:tcW w:w="14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34,102</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38,819</w:t>
            </w:r>
          </w:p>
        </w:tc>
        <w:tc>
          <w:tcPr>
            <w:tcW w:w="3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2020.</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ongoing tax controversies in the U.S., Canada, and India. The Company does not anticipate resolution of these audits will have a material impact on its unaudited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AND ASSET IMPAIRMENTS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has undertaken restructuring actions impacting the reportable segments at various locations across North America, Europe and Asia. This includes workforce right-sizing actions resulting in severance and transition costs; and costs related to the consolidation of facilities resulting in asset impairment and accelerated depreciation charges.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by reportable segment:</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6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0"/>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20" w:type="dxa"/>
            <w:vAlign w:val="bottom"/>
          </w:tcPr>
          <w:p>
            <w:pPr>
              <w:spacing w:after="0"/>
              <w:rPr>
                <w:sz w:val="17"/>
                <w:szCs w:val="17"/>
                <w:color w:val="auto"/>
              </w:rPr>
            </w:pPr>
          </w:p>
        </w:tc>
        <w:tc>
          <w:tcPr>
            <w:tcW w:w="12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216"/>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8"/>
                <w:szCs w:val="18"/>
                <w:color w:val="auto"/>
              </w:rPr>
            </w:pPr>
          </w:p>
        </w:tc>
      </w:tr>
      <w:tr>
        <w:trPr>
          <w:trHeight w:val="37"/>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w:t>
            </w:r>
          </w:p>
        </w:tc>
      </w:tr>
      <w:tr>
        <w:trPr>
          <w:trHeight w:val="23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as included within the Company’s unaudited condensed consolidated statements of income: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8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Severance and</w:t>
            </w:r>
          </w:p>
        </w:tc>
        <w:tc>
          <w:tcPr>
            <w:tcW w:w="1280" w:type="dxa"/>
            <w:vAlign w:val="bottom"/>
            <w:gridSpan w:val="3"/>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28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98"/>
        </w:trPr>
        <w:tc>
          <w:tcPr>
            <w:tcW w:w="3620" w:type="dxa"/>
            <w:vAlign w:val="bottom"/>
          </w:tcPr>
          <w:p>
            <w:pPr>
              <w:spacing w:after="0"/>
              <w:rPr>
                <w:sz w:val="17"/>
                <w:szCs w:val="17"/>
                <w:color w:val="auto"/>
              </w:rPr>
            </w:pPr>
          </w:p>
        </w:tc>
        <w:tc>
          <w:tcPr>
            <w:tcW w:w="126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2,582</w:t>
            </w: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68"/>
        </w:trPr>
        <w:tc>
          <w:tcPr>
            <w:tcW w:w="3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for all of the Company’s severance and transition costs related to all restructuring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5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20" w:type="dxa"/>
            <w:vAlign w:val="bottom"/>
          </w:tcPr>
          <w:p>
            <w:pPr>
              <w:spacing w:after="0"/>
              <w:rPr>
                <w:sz w:val="16"/>
                <w:szCs w:val="16"/>
                <w:color w:val="auto"/>
              </w:rPr>
            </w:pPr>
          </w:p>
        </w:tc>
        <w:tc>
          <w:tcPr>
            <w:tcW w:w="12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April 1, 2023</w:t>
            </w:r>
          </w:p>
        </w:tc>
      </w:tr>
      <w:tr>
        <w:trPr>
          <w:trHeight w:val="37"/>
        </w:trPr>
        <w:tc>
          <w:tcPr>
            <w:tcW w:w="5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37"/>
        </w:trPr>
        <w:tc>
          <w:tcPr>
            <w:tcW w:w="5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1,300</w:t>
            </w:r>
          </w:p>
        </w:tc>
      </w:tr>
      <w:tr>
        <w:trPr>
          <w:trHeight w:val="23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(excluding non-cash charges)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914</w:t>
            </w:r>
          </w:p>
        </w:tc>
      </w:tr>
      <w:tr>
        <w:trPr>
          <w:trHeight w:val="253"/>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 utilization</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36"/>
        </w:trPr>
        <w:tc>
          <w:tcPr>
            <w:tcW w:w="5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r>
      <w:tr>
        <w:trPr>
          <w:trHeight w:val="26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March 30, 2024 and December 30, 2023, $10.8 million and $5.1 million, respectively, of severance and other personnel related costs liabilities were included in accrued compensation and accrued liabilities within the Company’s unaudited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0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On February 16, 2023, the Company was informed by the U.S. Department of Justice (DOJ) that in conjunction with the U.S. Fish and Wildlife Service (USFWS), it had commenced an investigation into the Company’s conduct regarding several shipments of non-human primates from Cambodia. On February 17, 2023 the Company received a grand jury subpoena requesting certain documents related to such investigation. The Company is aware of a parallel civil investigation being undertaken by the DOJ and USFWS. The Company is cooperating with the DOJ and the USFWS and believes that the concerns raised with respect to the Company’s conduct are without merit. The Company maintains a global supplier onboarding and oversight program incorporating risk-based due diligence, auditing, and monitoring practices to help ensure the quality of our supplier relationships and compliance with applicable U.S. and international laws and regulations, and has operated under the belief that all shipments of non-human primates it received satisfied the material requirements, documentation and related processes and procedures of the Convention on International Trade in Endangered Species of Wild Fauna and Flora (CITES) documentation and related processes and procedures, which guides the release of each import by USFWS. Notwithstanding our efforts and good-faith belief,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The carrying value of the inventory related to these shipments was approximately $27 million as of March 30, 2024, which reflects the value of the shipments in accordance with the Company’s inventory accounting policy. On May 16, 2023, the Company received an inquiry from the Enforcement Division of the U.S. Securities and Exchange Commission (SEC) requesting it to voluntarily provide information, subsequently augmented with a document subpoena, primarily related to the sourcing of non-human primates, and the Company is cooperating with the request. The Company is not able to predict what action, if any, might be taken in the future by the DOJ, USFWS, SEC or other governmental authorities as a result of the investigations. None of the DOJ, USFWS or SEC has provided the Company with any specific timeline or indication as to when these investigations or, specific to the DOJ and USFWS, discussions regarding future processes and procedures, will be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concluded or resolved. The Company cannot predict the timing, outcome or possible impact of the investigations, including without limitation any potential fines, penalties or liabilities.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The Company filed a motion to dismiss. While the Company cannot predict the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In March 2024, the plaintiff agreed to stay the action until the United States District Court for the District of Massachusetts rules on the pending motion to dismiss in the Securities Class Action. The Company intends to file a motion to dismiss at that time. While the Company cannot predict the outcome of this matter, it believes the derivative lawsuit to be without merit and plans to vigorously defend against it. The Company cannot reasonably estimate the maximum potential exposure or the range of possible loss in association with this matter.</w:t>
      </w:r>
    </w:p>
    <w:p>
      <w:pPr>
        <w:spacing w:after="0" w:line="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Aside from the matters above, the Company believes there are no other matters pending against the Company that could have a material impact on the Company’s business, financial condition, or results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related notes of this Quarterly Report on Form 10-Q and our audited consolidated financial statements and related notes included in our Annual Report on Form 10-K for fiscal year</w:t>
      </w:r>
    </w:p>
    <w:p>
      <w:pPr>
        <w:spacing w:after="0" w:line="255" w:lineRule="auto"/>
        <w:rPr>
          <w:sz w:val="20"/>
          <w:szCs w:val="20"/>
          <w:color w:val="auto"/>
        </w:rPr>
      </w:pPr>
      <w:r>
        <w:rPr>
          <w:rFonts w:ascii="Times New Roman" w:cs="Times New Roman" w:eastAsia="Times New Roman" w:hAnsi="Times New Roman"/>
          <w:sz w:val="18"/>
          <w:szCs w:val="18"/>
          <w:color w:val="auto"/>
        </w:rPr>
        <w:t>2023.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included elsewhere within this Form 10-Q. Certain percentage changes may not recalculate due to rounding.</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leading, non-clinical global drug development partner with a mission to create healthier lives.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Our three reportable segments are Research Models and Services (RMS), Discovery and Safety Assessment (DSA), and Manufacturing Solutions (Manufacturing).</w:t>
      </w:r>
    </w:p>
    <w:p>
      <w:pPr>
        <w:spacing w:after="0" w:line="5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RMS reportable segment includes the Research Models, Research Model Services, and Cell Solutions businesses.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provides controlled, consistent, customized primary cells and blood components derived from normal and mobilized peripheral blood and bone marrow.</w:t>
      </w:r>
    </w:p>
    <w:p>
      <w:pPr>
        <w:spacing w:after="0" w:line="6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Our DSA segment is comprised of two businesses: Discovery Services and Safety Assessment. We provide regulated and non-regulated DSA services to support the research, development, and regulatory-required safety testing of potential new drugs, including therapeutic discovery and optimization plus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(non-animal) 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(in research models) studies, laboratory support services, and strategic non-clinical consulting and program management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product development.</w:t>
      </w:r>
    </w:p>
    <w:p>
      <w:pPr>
        <w:spacing w:after="0" w:line="70"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Our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Investigations into the Non-Human Primate Supply Chain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February 16, 2023, the Company was informed by the U.S. Department of Justice (DOJ) that in conjunction with the U.S. Fish and Wildlife Service (USFWS), it had commenced an investigation into the Company’s conduct regarding several shipments of non-human primates from Cambodia. On February 17, 2023 the Company received a grand jury subpoena requesting certain documents related to such investigation. The Company is aware of a parallel civil investigation being undertaken by the DOJ and USFWS. The Company is cooperating with the DOJ and the USFWS and believes that the concerns raised with respect to the Company’s conduct are without merit. The Company maintains a global supplier onboarding and oversight program incorporating risk-based due diligence, auditing, and monitoring practices to help ensure the quality of our supplier relationships and compliance with applicable U.S. and international laws and regulations, and has operated under the belief that all shipments of non-human primates it received satisfied the material requirements, documentation and related processes and procedures of the Convention on International Trade in Endangered Species of Wild Fauna and Flora (CITES) documentation and related processes and procedures, which guides the release of each import by USFWS. Notwithstanding our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and good-faith belief,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The carrying value of the inventory related to these shipments is approximately $27 million as of March 30, 2024, which reflects the value of the shipments in accordance with our inventory accounting policy. On May 16, 2023, the Company received an inquiry from the Enforcement Division of the U.S. Securities and Exchange Commission (SEC) requesting it to voluntarily provide information, subsequently augmented with a document subpoena, primarily related to the sourcing of non-human primates, and the Company is cooperating with the request. We are not able to predict what action, if any, might be taken in the future by the DOJ, USFWS, SEC or other governmental authorities as a result of the investigations. None of the DOJ, USFWS or SEC has provided the Company with any specific timeline or indication as to when these investigations or, specific to the DOJ and USFWS, discussions regarding future processes and procedures, will be concluded or resolved. The Company cannot predict the timing, outcome or possible impact of the investigations, including without limitation any potential fines, penalties or liabilities. For our assessment of risk factors surrounding the aforementioned matter refer to Item 1A, “Risk Factors” and Item 3, “Legal Proceedings” of our Annual Report on Form 10-K for fiscal year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is to augment internal growth of existing businesses with complementary acquisitions. Our recent acquisitions are described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Acquisitions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30, 2023, we completed our acquisition of an additional 41% equity interest of Noveprim Group (“Noveprim”), a leading provider of non-human primates (“NHPs”) used for biomedical, pharmaceutical and toxicological research purposes, resulting in a 90% controlling interest. The acquisition strengthens and diversifies the supply chain for our DSA segment. We had previously acquired a 49% equity stake in 2022 for $90.0 million up-front and additional future contingent payments up to $5.0 million based on future performance. The total preliminary purchase price for the Noveprim acquisition is $374.8 million, which includes $144.6 million additional cash paid for the 41% equity interest, elimination of historical activity and intercompany balances of $198.8 million which includes a remeasurement gain on the 49% equity investment of $103.2 million, contingent consideration of $33.3 million, deferred purchase price of $12.0 million payable from 2024 through 2027, offset by estimated post-closing adjustments for working capital of</w:t>
      </w:r>
    </w:p>
    <w:p>
      <w:pPr>
        <w:spacing w:after="0" w:line="3"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$13.8 million. The acquisition was funded through a combination of available cash and proceeds from our Credit Facility. This business is reported as part of our DSA reportable segment for NHPs vertically integrated into our Safety Assessment supply chain and the RMS reportable segment for NHPs sold to third party customers.</w:t>
      </w:r>
    </w:p>
    <w:p>
      <w:pPr>
        <w:spacing w:after="0" w:line="7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January 27, 2023, we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inclusive of a 20% strategic equity interest previously owned by us. The acquisition was funded through a combination of available cash and proceeds from our Credit Facility. This business is reported as part of our DSA reportable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 and Liquidity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Revenue for the three months ended March 30, 2024 decreased $17.8 million, or 1.7%, to $1,011.6 million compared to $1,029.4 million in the corresponding period in 2023. The decrease in revenue was primarily due to our DSA business which experienced lower volume; partially offset by higher revenue within our RMS business, principally driven by the recent acquisition of Noveprim which sells large research models to third parties; higher revenue within our Manufacturing businesses, and the effect of changes in foreign currency exchange rates when compared to the corresponding three month period in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30, 2024, our operating income and operating income margin were $126.0 million and 12.5% respectively, compared with $167.9 million and 16.3%, respectively, in the corresponding of 2023. The decrease in operating income and operating income margin for the three months ended March 30, 2024 was primarily due to lower revenue described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above, higher staffing and operating costs across all businesses, and charges related to recent restructuring activities, including severance and asset impairments.</w:t>
      </w:r>
    </w:p>
    <w:p>
      <w:pPr>
        <w:spacing w:after="0" w:line="5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income attributable to common shareholders decreased to $73.0 million in the three months ended March 30, 2024, from $103.1 million in the corresponding period of 2023 due principally to the decrease in operating income described above, partially offset by higher net gains on investments compared to the corresponding period in fiscal 2023.</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30, 2024, our cash flows from operations was $129.9 million compared with $109.4 million for the same period in 2023. The increase was driven by timing of vendor and supplier payments and improvements across our revenue related accounts, including trade receivables, deferred revenue, and customer deposits compared to the same period in 2023.</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undertaken restructuring actions within all reportable segments at various locations across North America, Europe and Asia. This includes workforce right-sizing actions, resulting in severance and transition costs; and costs related to the consolidation of facilities, resulting in asset impairment and accelerated depreciation charges. Restructuring charges recognized during the three months ended March 30, 2024 were approximately $17 million, of which $8 million related to asset impairment and accelerated depreciation charges and $9 million related to severance charges. We expect that these effectuated actions as well as other upcoming planned actions will result in approximately $70 million of cost savings on an annualized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30, 2024 Compared to Three Months Ended April 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816,862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center"/>
              <w:ind w:left="301"/>
              <w:spacing w:after="0"/>
              <w:rPr>
                <w:sz w:val="20"/>
                <w:szCs w:val="20"/>
                <w:color w:val="auto"/>
              </w:rPr>
            </w:pPr>
            <w:r>
              <w:rPr>
                <w:rFonts w:ascii="Times New Roman" w:cs="Times New Roman" w:eastAsia="Times New Roman" w:hAnsi="Times New Roman"/>
                <w:sz w:val="16"/>
                <w:szCs w:val="16"/>
                <w:color w:val="auto"/>
              </w:rPr>
              <w:t>(40,504)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321"/>
              <w:spacing w:after="0"/>
              <w:rPr>
                <w:sz w:val="20"/>
                <w:szCs w:val="20"/>
                <w:color w:val="auto"/>
              </w:rPr>
            </w:pPr>
            <w:r>
              <w:rPr>
                <w:rFonts w:ascii="Times New Roman" w:cs="Times New Roman" w:eastAsia="Times New Roman" w:hAnsi="Times New Roman"/>
                <w:sz w:val="16"/>
                <w:szCs w:val="16"/>
                <w:color w:val="auto"/>
              </w:rPr>
              <w:t>22,691</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center"/>
              <w:ind w:left="301"/>
              <w:spacing w:after="0"/>
              <w:rPr>
                <w:sz w:val="20"/>
                <w:szCs w:val="20"/>
                <w:color w:val="auto"/>
              </w:rPr>
            </w:pPr>
            <w:r>
              <w:rPr>
                <w:rFonts w:ascii="Times New Roman" w:cs="Times New Roman" w:eastAsia="Times New Roman" w:hAnsi="Times New Roman"/>
                <w:sz w:val="16"/>
                <w:szCs w:val="16"/>
                <w:color w:val="auto"/>
              </w:rPr>
              <w:t>(17,813)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9"/>
              </w:rPr>
              <w:t>21,141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10.6 %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605,452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(56,901)</w:t>
            </w:r>
          </w:p>
        </w:tc>
        <w:tc>
          <w:tcPr>
            <w:tcW w:w="320" w:type="dxa"/>
            <w:vAlign w:val="bottom"/>
          </w:tcPr>
          <w:p>
            <w:pPr>
              <w:spacing w:after="0"/>
              <w:rPr>
                <w:sz w:val="18"/>
                <w:szCs w:val="18"/>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(8.6)%</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261"/>
              <w:spacing w:after="0"/>
              <w:rPr>
                <w:sz w:val="20"/>
                <w:szCs w:val="20"/>
                <w:color w:val="auto"/>
              </w:rPr>
            </w:pPr>
            <w:r>
              <w:rPr>
                <w:rFonts w:ascii="Times New Roman" w:cs="Times New Roman" w:eastAsia="Times New Roman" w:hAnsi="Times New Roman"/>
                <w:sz w:val="16"/>
                <w:szCs w:val="16"/>
                <w:color w:val="auto"/>
                <w:w w:val="99"/>
              </w:rPr>
              <w:t>17,947</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10.7 %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9"/>
        </w:trPr>
        <w:tc>
          <w:tcPr>
            <w:tcW w:w="2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1,029,373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6"/>
                <w:szCs w:val="16"/>
                <w:color w:val="auto"/>
              </w:rPr>
              <w:t>(17,813)</w:t>
            </w:r>
          </w:p>
        </w:tc>
        <w:tc>
          <w:tcPr>
            <w:tcW w:w="320" w:type="dxa"/>
            <w:vAlign w:val="bottom"/>
          </w:tcPr>
          <w:p>
            <w:pPr>
              <w:spacing w:after="0"/>
              <w:rPr>
                <w:sz w:val="18"/>
                <w:szCs w:val="18"/>
                <w:color w:val="auto"/>
              </w:rPr>
            </w:pP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40,409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220" w:type="dxa"/>
            <w:vAlign w:val="bottom"/>
          </w:tcPr>
          <w:p>
            <w:pPr>
              <w:spacing w:after="0"/>
              <w:rPr>
                <w:sz w:val="18"/>
                <w:szCs w:val="18"/>
                <w:color w:val="auto"/>
              </w:rPr>
            </w:pPr>
          </w:p>
        </w:tc>
        <w:tc>
          <w:tcPr>
            <w:tcW w:w="1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114,839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171,431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(65,692)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(46,054)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(19,638)</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125,977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167,892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780"/>
              <w:spacing w:after="0"/>
              <w:rPr>
                <w:sz w:val="20"/>
                <w:szCs w:val="20"/>
                <w:color w:val="auto"/>
              </w:rPr>
            </w:pPr>
            <w:r>
              <w:rPr>
                <w:rFonts w:ascii="Times New Roman" w:cs="Times New Roman" w:eastAsia="Times New Roman" w:hAnsi="Times New Roman"/>
                <w:sz w:val="16"/>
                <w:szCs w:val="16"/>
                <w:color w:val="auto"/>
              </w:rPr>
              <w:t>(380) bps</w:t>
            </w: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220,907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199,766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 of</w:t>
            </w:r>
          </w:p>
        </w:tc>
        <w:tc>
          <w:tcPr>
            <w:tcW w:w="22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140,925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126,804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240" w:type="dxa"/>
            <w:vAlign w:val="bottom"/>
          </w:tcPr>
          <w:p>
            <w:pPr>
              <w:spacing w:after="0"/>
              <w:rPr>
                <w:sz w:val="14"/>
                <w:szCs w:val="14"/>
                <w:color w:val="auto"/>
              </w:rPr>
            </w:pPr>
          </w:p>
        </w:tc>
        <w:tc>
          <w:tcPr>
            <w:tcW w:w="12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11.1 %</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27,058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14.2 %</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8.1 %</w:t>
            </w: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43,149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40,409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(70) bps</w:t>
            </w: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RMS revenue increased $21.1 million due primarily to higher large research model product revenue, principally from the recent acquisition of Noveprim, which contributed $15.1 million, and higher small research models product and service revenues; partially offset by lower revenue in our Cell Solutions business and the effect of changes in foreign currency exchange rates.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RMS operating income increased $2.7 million compared to the corresponding period in 2023 principally due to the increase in revenue noted above. RMS operating income as a percentage of revenue for the three months ended March 30, 2024 was 19.5%, a decrease of 70 bps from 20.2% for the corresponding period in 2023, principally due to higher amortization related to acquisitions, including an inventory step up recorded in cost of revenue from the Noveprim acquisition, and higher site consolidation and asset impairment charges related to recent restructuring activities.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605,452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662,353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(56,901)</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 of</w:t>
            </w:r>
          </w:p>
        </w:tc>
        <w:tc>
          <w:tcPr>
            <w:tcW w:w="22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417,912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411,523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24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1.6 %</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15,842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17,401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114,839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171,431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(56,592)</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(690) bps</w:t>
            </w: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DSA revenue decreased $56.9 million due primarily to decreased revenue in our Safety Assessment and Discovery Services businesses due to decreased volume, as well as the impact of a recently divested site related to our Safety Assessment business, which decreased revenue by $2.9 million; partially offset by the effect of changes in foreign currency exchange rates.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DSA operating income decreased $56.6 million compared to the corresponding period in 2023. DSA operating income as a percentage of revenue for the three months ended March 30, 2024 was 19.0%, a decrease of (690) bps from 25.9% for the corresponding period in 2023. Operating income and operating income as a percentage of revenue decreased primarily due to the lower revenue described above, higher operating and staffing costs, and higher severance and impairment costs related to recent restructuring activities.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185,201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167,254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17,947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 of</w:t>
            </w:r>
          </w:p>
        </w:tc>
        <w:tc>
          <w:tcPr>
            <w:tcW w:w="220" w:type="dxa"/>
            <w:vAlign w:val="bottom"/>
          </w:tcPr>
          <w:p>
            <w:pPr>
              <w:spacing w:after="0"/>
              <w:rPr>
                <w:sz w:val="14"/>
                <w:szCs w:val="14"/>
                <w:color w:val="auto"/>
              </w:rPr>
            </w:pPr>
          </w:p>
        </w:tc>
        <w:tc>
          <w:tcPr>
            <w:tcW w:w="14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107,880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113,392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(5,512)</w:t>
            </w:r>
          </w:p>
        </w:tc>
        <w:tc>
          <w:tcPr>
            <w:tcW w:w="240" w:type="dxa"/>
            <w:vAlign w:val="bottom"/>
          </w:tcPr>
          <w:p>
            <w:pPr>
              <w:spacing w:after="0"/>
              <w:rPr>
                <w:sz w:val="14"/>
                <w:szCs w:val="14"/>
                <w:color w:val="auto"/>
              </w:rPr>
            </w:pPr>
          </w:p>
        </w:tc>
        <w:tc>
          <w:tcPr>
            <w:tcW w:w="12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32,847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39,736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(6,889)</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10,793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(1,227)</w:t>
            </w: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33,681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31,575</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1,499.3 %</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1,690 bps</w:t>
            </w: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Manufacturing revenue increased $17.9 million due primarily to increased revenue in both our Biologics Solutions and Microbial Solutions businesses, driven by increased volume for Biologics Testing service revenue, CDMO service revenue, and Microbial Solutions endotoxin product revenue.</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Manufacturing operating income increased $31.6 million compared to the corresponding period in 2023. Manufacturing operating income as a percentage of revenue for the three months ended March 30, 2024 was 18.2%, an increase of 1,690 bps from 1.3% for the corresponding period in 2023. Operating income and operating income as a percentage of revenue increased primarily due to the higher revenue described above, along with higher operating efficiencies, and the absence of certain costs incurred during the three months ended April 1, 2023, primarily an asset impairment charge related to our Biologics Solutions business, and legal costs from an environmental litigation related to the Microbial Solutions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6"/>
                <w:szCs w:val="16"/>
                <w:color w:val="auto"/>
              </w:rPr>
            </w:pPr>
          </w:p>
        </w:tc>
        <w:tc>
          <w:tcPr>
            <w:tcW w:w="15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3"/>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65,692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46,054</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19,638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22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6.5 %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 bps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 segments. The increase in unallocated corporate costs of $19.6 million, or 42.6%, compared to the corresponding period in 2023 is primarily related to higher variable compensation expenses and higher severance costs. Costs as a percentage of revenue for the three months ended March 30, 2024 were 6.5%, an increase of 200 bps from 4.5% for the corresponding period in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1,396</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173.2 %</w:t>
            </w: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9,110</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(26,966)</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9,885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30, 2024 was $2.2 million, an increase of $1.4 million, or 173.2%, driven primarily from higher interest rates.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March 30, 2024 was $5.8 million, an increase of $9.1 million, or 278.0%, compared to Other expense, net of $3.3 million for the corresponding period in 2023. The increase was due primarily to venture capital investment gains of $8.2 million as compared to losses of $6.8 million in the corresponding period in 2023, partially offset by strategic equity investment losses of $2.3 million as compared to gains of $3.6 million in the corresponding period in 2023.</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3"/>
          </w:tcPr>
          <w:p>
            <w:pPr>
              <w:jc w:val="right"/>
              <w:ind w:right="9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Pr>
          <w:p>
            <w:pPr>
              <w:spacing w:after="0"/>
              <w:rPr>
                <w:sz w:val="16"/>
                <w:szCs w:val="16"/>
                <w:color w:val="auto"/>
              </w:rPr>
            </w:pPr>
          </w:p>
        </w:tc>
        <w:tc>
          <w:tcPr>
            <w:tcW w:w="14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April 1, 2023</w:t>
            </w: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3"/>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24,529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27,087</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(2,558)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tcPr>
          <w:p>
            <w:pPr>
              <w:spacing w:after="0"/>
              <w:rPr>
                <w:sz w:val="18"/>
                <w:szCs w:val="18"/>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24.8 %</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 bps</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30, 2024 was $24.5 million, a decrease of $2.6 million compared to $27.1 million for the corresponding period in 2023. Our effective tax rate was 24.8% for the three months ended March 30, 2024 compared to 20.7% for the corresponding period in 2023. The increase in our effective tax rate in the three months ended March 30, 2024 compared to the corresponding period in 2023 was primarily attributable to unfavorable tax effects from stock-based compensation deductions in the three months ended March 30, 2024.</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global operations make the effective tax rate sensitive to significant tax law changes. Several countries where we operate have enacted legislation implementing the Organization for Economic Cooperation and Development’s (OECD) international tax framework, including the Pillar II global minimum tax rate with effect from January 1, 2024 or later. We continue to monitor future legislation, however, the tax expense accrued for the three months ended March 30, 2024, is not material to the unaudited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Cash Flows</w:t>
      </w:r>
    </w:p>
    <w:p>
      <w:pPr>
        <w:spacing w:after="0" w:line="11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currently require cash to fund our working capital needs, capital expansion, acquisitions, and to pay our debt, lease, venture capital investment,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cash equivalents and short-term investments: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2,234</w:t>
            </w:r>
          </w:p>
        </w:tc>
      </w:tr>
      <w:tr>
        <w:trPr>
          <w:trHeight w:val="246"/>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311,163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274,537</w:t>
            </w:r>
          </w:p>
        </w:tc>
      </w:tr>
      <w:tr>
        <w:trPr>
          <w:trHeight w:val="233"/>
        </w:trPr>
        <w:tc>
          <w:tcPr>
            <w:tcW w:w="6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276,771</w:t>
            </w:r>
          </w:p>
        </w:tc>
      </w:tr>
      <w:tr>
        <w:trPr>
          <w:trHeight w:val="22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r>
      <w:tr>
        <w:trPr>
          <w:trHeight w:val="268"/>
        </w:trPr>
        <w:tc>
          <w:tcPr>
            <w:tcW w:w="6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short-term investments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276,839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operating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8"/>
              </w:rPr>
              <w:t>April 1, 2023</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103,954</w:t>
            </w: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97,373</w:t>
            </w:r>
          </w:p>
        </w:tc>
      </w:tr>
      <w:tr>
        <w:trPr>
          <w:trHeight w:val="24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(91,944)</w:t>
            </w:r>
          </w:p>
        </w:tc>
      </w:tr>
      <w:tr>
        <w:trPr>
          <w:trHeight w:val="243"/>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129,888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109,383</w:t>
            </w:r>
          </w:p>
        </w:tc>
      </w:tr>
      <w:tr>
        <w:trPr>
          <w:trHeight w:val="21"/>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cash provided by cash flows from operating activities represents the cash receipts and disbursements related to all of our activities other than investing and financing activities. Operating cash flow is derived by adjusting our net income for (1) non-cash operating items such as depreciation and amortization, stock-based compensation, loss on debt extinguishment and other financing costs, deferred income taxes, gains and/or losses on venture capital and strategic equity investments, gains and/or losses on divestitures, contingent consideration, as well as (2) changes in operating assets and liabilities, which reflect timing differences between the receipt and payment of cash associated with transactions and when they are recognized in our results of operations. For the three months ended March 30, 2024, compared to the three months ended April 1, 2023, the increase in net cash provided by operating activities was primarily driven by timing of vendor and supplier payments and improvements across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related accounts, including trade receivables, deferred revenue, and customer deposits compared to the same period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investing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1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w w:val="98"/>
              </w:rPr>
              <w:t>April 1, 2023</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(50,166)</w:t>
            </w: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(106,875)</w:t>
            </w: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net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(10,617)</w:t>
            </w:r>
          </w:p>
        </w:tc>
      </w:tr>
      <w:tr>
        <w:trPr>
          <w:trHeight w:val="236"/>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r>
      <w:tr>
        <w:trPr>
          <w:trHeight w:val="268"/>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(168,618)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30, 2024, the primary use of cash used in investing activities related to capital expenditures to support the growth of the business and investments in certain venture capital and strategic equity investments.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April 1, 2023, the primary use of cash used in investing activities related to capital expenditures to support the growth of the business, the acquisition of SAMDI, and investments in certain venture capital and strategic equity investments.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financing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400" w:type="dxa"/>
            <w:vAlign w:val="bottom"/>
          </w:tcPr>
          <w:p>
            <w:pPr>
              <w:spacing w:after="0"/>
              <w:rPr>
                <w:sz w:val="16"/>
                <w:szCs w:val="16"/>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April 1, 2023</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r>
      <w:tr>
        <w:trPr>
          <w:trHeight w:val="37"/>
        </w:trPr>
        <w:tc>
          <w:tcPr>
            <w:tcW w:w="6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192,500</w:t>
            </w:r>
          </w:p>
        </w:tc>
      </w:tr>
      <w:tr>
        <w:trPr>
          <w:trHeight w:val="24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11,792</w:t>
            </w:r>
          </w:p>
        </w:tc>
      </w:tr>
      <w:tr>
        <w:trPr>
          <w:trHeight w:val="24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(292,482)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(157,328)</w:t>
            </w:r>
          </w:p>
        </w:tc>
      </w:tr>
      <w:tr>
        <w:trPr>
          <w:trHeight w:val="2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(19,012)</w:t>
            </w:r>
          </w:p>
        </w:tc>
      </w:tr>
      <w:tr>
        <w:trPr>
          <w:trHeight w:val="2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considerations</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r>
      <w:tr>
        <w:trPr>
          <w:trHeight w:val="237"/>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30, 2024, net cash provided by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$4.3 million from our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exercises of employee stock options of $21.5 million</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$9.4 million made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$2.2 million to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April 1, 2023, net cash provided by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$35.2 million from our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exercises of employee stock options of $11.8 million</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$19.0 million made due to the netting of common stock upon vesting of stock-based awards in order to satisfy individual statutory tax withholding requirements,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of $2.7 million</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Credit Facility and our Senior Notes were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160" w:type="dxa"/>
            <w:vAlign w:val="bottom"/>
          </w:tcPr>
          <w:p>
            <w:pPr>
              <w:spacing w:after="0"/>
              <w:rPr>
                <w:sz w:val="16"/>
                <w:szCs w:val="16"/>
                <w:color w:val="auto"/>
              </w:rPr>
            </w:pPr>
          </w:p>
        </w:tc>
        <w:tc>
          <w:tcPr>
            <w:tcW w:w="142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gridSpan w:val="4"/>
          </w:tcPr>
          <w:p>
            <w:pPr>
              <w:jc w:val="right"/>
              <w:ind w:right="11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1,129,243</w:t>
            </w:r>
          </w:p>
        </w:tc>
      </w:tr>
      <w:tr>
        <w:trPr>
          <w:trHeight w:val="24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r>
      <w:tr>
        <w:trPr>
          <w:trHeight w:val="240"/>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500,000</w:t>
            </w:r>
          </w:p>
        </w:tc>
      </w:tr>
      <w:tr>
        <w:trPr>
          <w:trHeight w:val="264"/>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2,629,243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interest rates applicable to the Credit Facility are equal to (A) for revolving loans denominated in U.S. dollars, at our option, either the base rate (which is the higher of (1) the prime rate, (2) the federal funds rate plus 0.50%, or (3) the one-month adjusted term SOFR rate plus 1%) or the adjusted term SOFR rate, (B) for revolving loans denominated in euros, the adjusted EURIBOR rate and (C) for revolving loans denominated in sterling, the daily simple SONIA rate, in each case, plus an interest rate margin based upon our leverage ratio.</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an interest rate swap with a notional amount of $500 million to manage interest rate fluctuation related to our floating rate borrowings under the Credit Facility, at a fixed rate of 4.65% on our swap maturing November 2, 2024.</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off-balance sheet commitments related to our outstanding letters of credit as of March 30, 2024 and December 30, 2023 were $21.2 million and $21.6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operate on a global basis and have exposure to foreign currency exchange rate fluctuations for our financial position, results of operations, and cash flows.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While the financial results of our global activities are reported in U.S. dollars, our foreign subsidiaries typically conduct their operations in their respective local currency. The principal functional currencies of the Company’s foreign subsidiaries are the Euro, British Pound and Canadian Dollar. During the three months ended March 30, 2024, the most significant drivers of foreign currency translation adjustment the Company recorded as part of Other comprehensive income (loss) were the Euro, Mauritian Rupee, Swedish Krona, and Canadian Dollar.</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the three months ended March 30, 2024, our revenue would have decreased by $32.8 million, and our operating income would have decreased by $2.4 million, if the U.S. dollar exchange rate had strengthened by 10%, with all other variables held constant.</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30, 2024, we did not repurchase any shares under our authorized stock repurchase program. As of March 30, 2024, we had $129.1 million remaining on the authorized $1.3 billion stock repurchase program. Our stock-based compensation plans permit the netting of common stock upon vesting of restricted stock, restricted stock units, and performance share units in order to satisfy individual statutory tax withholding requirements. During the three months ended March 30, 2024, we acquired 0.1 million shares for $9.4 million through such netting.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may affect the reported amounts of assets and liabilities, the reported amounts of revenues and expenses during the reported periods, and the related disclosures. These estimates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Item 7, “Management’s Discussion and Analysis of Financial Condition and Results of Operations” of our Annual Report on Form 10-K for fiscal year 2023. There have been no changes in the Company’s critical accounting policies during the three months ended March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please refer to Note 1, “Basis of Presentation,” in this Quarterly Report on Form 10-Q. Other than as discussed in Note 1, “Basis of Presentation,” we did not adopt any other new accounting pronouncements during the three months ended March 30, 2024 that had a significant effect on our unaudited condensed consolidated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exposure to market risk from changes in interest rates and currency exchange rates has not changed materially from its exposure discussed in the Company’s Annual Report on Form 10-K for the fiscal year ended December 30, 2023. Our interest rate and currency exchange rate risks are fully described in Item 7, “Management’s Discussion and Analysis of Financial Condition and Results of Operations - Liquidity and Capital Resources” of our Annual Report on Form 10-K for fiscal year 2023 and in Item 2, “Management’s Discussion and Analysis of Financial Condition and Results of Operations - Liquidity and Capital Resources”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March 30, 2024,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assurances of achieving the desired control objectives, and management necessarily was required to apply its judgment in designing and evaluating the controls and procedures.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Controls Over Financial Reporting</w:t>
      </w:r>
    </w:p>
    <w:p>
      <w:pPr>
        <w:spacing w:after="0" w:line="12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identified in connection with the evaluation required by paragraph (d) of the Exchange Act Rules 13a-15 or 15d-15 that occurred during the quarter ended March 30, 2024 that materially affected, or were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16, 2023, the Company was informed by the U.S. Department of Justice (DOJ) that in conjunction with the U.S. Fish and Wildlife Service (USFWS), it had commenced an investigation into the Company’s conduct regarding several shipments of non-human primates from Cambodia. On February 17, 2023 the Company received a grand jury subpoena requesting certain documents related to such investigation. The Company is aware of a parallel civil investigation being undertaken by the DOJ and USFWS. The Company is cooperating with the DOJ and the USFWS and believes that the concerns raised with respect to the Company’s conduct are without merit. The Company maintains a global supplier onboarding and oversight program incorporating risk-based due diligence, auditing, and monitoring practices to help ensure the quality of our supplier relationships and compliance with applicable U.S. and international laws and regulations, and has operated under the belief that all shipments of non-human primates it received satisfied the material requirements, documentation and related processes and procedures of the Convention on International Trade in Endangered Species of Wild Fauna and Flora (CITES) documentation and related processes and procedures, which guides the release of each import by USFWS. Notwithstanding our efforts and good-faith belief,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The carrying value of the inventory related to these shipments is approximately $27 million as of March 30, 2024, which reflects the value of the shipments in accordance with the Company’s inventory accounting policy. On May 16, 2023, the Company received an inquiry from the Enforcement Division of the U.S. Securities and Exchange Commission (SEC) requesting it to voluntarily provide information, subsequently augmented with a document subpoena, primarily related to the sourcing of non-human primates, and the Company is cooperating with the request. We are not able to predict what action, if any, might be taken in the future by the DOJ, USFWS, SEC or other governmental authorities as a result of the investigations. None of the DOJ, USFWS or SEC has provided the Company with any specific timeline or indication as to when these investigations or, specific to the DOJ and USFWS, discussions regarding future processes and procedures, will be concluded or resolved. The Company cannot predict the timing, outcome or possible impact of the investigations, including without limitation any potential fines, penalties or liabilities.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The Company filed a motion to dismiss. While the Company cannot predict the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In March 2024, the plaintiff agreed to stay the action until the United States District Court for the District of Massachusetts rules on the pending motion to dismiss in the Securities Class Action. The Company intends to file a motion to dismiss at that time. While the Company cannot predict the outcome of this matter, it believes the derivative lawsuit to be without merit and plans to vigorously defend against it. The Company cannot reasonably estimate the maximum potential exposure or the range of possible loss in association with this matter.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fiscal year 2023, which could materially affect our business, financial condition, and/or future results. The risks described in our Annual Report on Form 10-K are not the only risks we face.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fiscal year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purchases of shares of our common stock during the three months ended March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6"/>
        </w:trPr>
        <w:tc>
          <w:tcPr>
            <w:tcW w:w="37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62"/>
        </w:trPr>
        <w:tc>
          <w:tcPr>
            <w:tcW w:w="37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6"/>
        </w:trPr>
        <w:tc>
          <w:tcPr>
            <w:tcW w:w="37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3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204"/>
        </w:trPr>
        <w:tc>
          <w:tcPr>
            <w:tcW w:w="37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23"/>
        </w:trPr>
        <w:tc>
          <w:tcPr>
            <w:tcW w:w="37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6"/>
        </w:trPr>
        <w:tc>
          <w:tcPr>
            <w:tcW w:w="3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37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2023 to January 27,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213.32</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129,105</w:t>
            </w:r>
          </w:p>
        </w:tc>
      </w:tr>
      <w:tr>
        <w:trPr>
          <w:trHeight w:val="23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28, 2024 to February 24,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221.71</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129,105</w:t>
            </w:r>
          </w:p>
        </w:tc>
      </w:tr>
      <w:tr>
        <w:trPr>
          <w:trHeight w:val="24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25, 2024 to March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254.19</w:t>
            </w:r>
          </w:p>
        </w:tc>
        <w:tc>
          <w:tcPr>
            <w:tcW w:w="120" w:type="dxa"/>
            <w:vAlign w:val="bottom"/>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129,105</w:t>
            </w:r>
          </w:p>
        </w:tc>
      </w:tr>
      <w:tr>
        <w:trPr>
          <w:trHeight w:val="243"/>
        </w:trPr>
        <w:tc>
          <w:tcPr>
            <w:tcW w:w="3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spacing w:after="0"/>
              <w:rPr>
                <w:sz w:val="21"/>
                <w:szCs w:val="21"/>
                <w:color w:val="auto"/>
              </w:rPr>
            </w:pPr>
          </w:p>
        </w:tc>
      </w:tr>
      <w:tr>
        <w:trPr>
          <w:trHeight w:val="21"/>
        </w:trPr>
        <w:tc>
          <w:tcPr>
            <w:tcW w:w="37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have authorized up to an aggregate amount of $1.3 billion for our stock repurchase program. During the three months ended March 30, 2024, we did not repurchase any shares of common stock under our stock repurchase program or in open market trading. As of March 30, 2024, we had $129.1 million remaining on the authorized stock repurchase program.</w:t>
      </w:r>
    </w:p>
    <w:p>
      <w:pPr>
        <w:spacing w:after="0" w:line="6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30, 2024,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except as follows:</w:t>
      </w:r>
    </w:p>
    <w:p>
      <w:pPr>
        <w:spacing w:after="0" w:line="108" w:lineRule="exact"/>
        <w:rPr>
          <w:sz w:val="20"/>
          <w:szCs w:val="20"/>
          <w:color w:val="auto"/>
        </w:rPr>
      </w:pPr>
    </w:p>
    <w:p>
      <w:pPr>
        <w:ind w:left="660" w:right="32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On February 26, 2024, James Foster, our Chair, President, and Chief Executive Officer, entered into a Rule 10b5-1 trading arrangement for the sale of up to 129,721 shares of common stock. The arrangement’s expiration date is June 30, 2026.</w:t>
      </w:r>
    </w:p>
    <w:p>
      <w:pPr>
        <w:spacing w:after="0" w:line="2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On March 4, 2024, Shannon Parisotto, our Corporate Executive Vice President, Global Discovery &amp; Safety Assessment entered into a Rule 10b5-1 trading arrangement for the sale of up to 10,170 shares of common stock, subject to certain conditions. The arrangement’s expiration date is February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8" w:lineRule="exact"/>
        <w:rPr>
          <w:sz w:val="20"/>
          <w:szCs w:val="20"/>
          <w:color w:val="auto"/>
        </w:rPr>
      </w:pPr>
    </w:p>
    <w:p>
      <w:pPr>
        <w:ind w:left="320" w:hanging="294"/>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Exhibits   </w:t>
      </w:r>
      <w:r>
        <w:rPr>
          <w:rFonts w:ascii="Times New Roman" w:cs="Times New Roman" w:eastAsia="Times New Roman" w:hAnsi="Times New Roman"/>
          <w:sz w:val="17"/>
          <w:szCs w:val="17"/>
          <w:b w:val="1"/>
          <w:bCs w:val="1"/>
          <w:color w:val="auto"/>
        </w:rPr>
        <w:t>Description of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430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Rule 13a-14(a)/15d-14(a) Certification of Chief Executive Officer</w:t>
            </w:r>
          </w:p>
        </w:tc>
        <w:tc>
          <w:tcPr>
            <w:tcW w:w="56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99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Financial Officer</w:t>
            </w:r>
          </w:p>
        </w:tc>
      </w:tr>
      <w:tr>
        <w:trPr>
          <w:trHeight w:val="21"/>
        </w:trPr>
        <w:tc>
          <w:tcPr>
            <w:tcW w:w="13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132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992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the Principal Executive Officer and the Principal Financial Officer required by Rule 13a-14(a) of 15d-14(a) of the Exchange Act</w:t>
            </w: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0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eXtensible Business Reporting Language (XBRL) Instance Document - the instance document does not appear in the Interactive Data File because its</w:t>
            </w:r>
          </w:p>
        </w:tc>
      </w:tr>
      <w:tr>
        <w:trPr>
          <w:trHeight w:val="213"/>
        </w:trPr>
        <w:tc>
          <w:tcPr>
            <w:tcW w:w="132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left="31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CHARLES RIVER LABORATORIES INTERNATIONAL, INC.</w:t>
      </w:r>
    </w:p>
    <w:p>
      <w:pPr>
        <w:spacing w:after="0" w:line="360" w:lineRule="exact"/>
        <w:rPr>
          <w:sz w:val="20"/>
          <w:szCs w:val="20"/>
          <w:color w:val="auto"/>
        </w:rPr>
      </w:pPr>
    </w:p>
    <w:p>
      <w:pPr>
        <w:ind w:left="860"/>
        <w:spacing w:after="0"/>
        <w:tabs>
          <w:tab w:leader="none" w:pos="386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34290</wp:posOffset>
            </wp:positionV>
            <wp:extent cx="4003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James C. Foster</w:t>
      </w:r>
    </w:p>
    <w:p>
      <w:pPr>
        <w:ind w:left="3880"/>
        <w:spacing w:after="0"/>
        <w:rPr>
          <w:sz w:val="20"/>
          <w:szCs w:val="20"/>
          <w:color w:val="auto"/>
        </w:rPr>
      </w:pPr>
      <w:r>
        <w:rPr>
          <w:rFonts w:ascii="Times New Roman" w:cs="Times New Roman" w:eastAsia="Times New Roman" w:hAnsi="Times New Roman"/>
          <w:sz w:val="16"/>
          <w:szCs w:val="16"/>
          <w:i w:val="1"/>
          <w:iCs w:val="1"/>
          <w:color w:val="auto"/>
        </w:rPr>
        <w:t>Chairman, President and Chief Executive Officer</w:t>
      </w:r>
    </w:p>
    <w:p>
      <w:pPr>
        <w:spacing w:after="0" w:line="293" w:lineRule="exact"/>
        <w:rPr>
          <w:sz w:val="20"/>
          <w:szCs w:val="20"/>
          <w:color w:val="auto"/>
        </w:rPr>
      </w:pPr>
    </w:p>
    <w:p>
      <w:pPr>
        <w:ind w:left="860"/>
        <w:spacing w:after="0"/>
        <w:tabs>
          <w:tab w:leader="none" w:pos="3860" w:val="left"/>
        </w:tabs>
        <w:rPr>
          <w:sz w:val="20"/>
          <w:szCs w:val="20"/>
          <w:color w:val="auto"/>
        </w:rPr>
      </w:pP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7"/>
          <w:szCs w:val="17"/>
          <w:color w:val="auto"/>
        </w:rPr>
        <w:t>/s/ FLAVIA H. PEASE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34290</wp:posOffset>
            </wp:positionV>
            <wp:extent cx="4003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color w:val="auto"/>
        </w:rPr>
        <w:t>Flavia H. Pease</w:t>
      </w:r>
    </w:p>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i w:val="1"/>
          <w:iCs w:val="1"/>
          <w:color w:val="auto"/>
        </w:rPr>
        <w:t>Corporate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60"/>
          </w:cols>
          <w:pgMar w:left="320" w:top="117" w:right="11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Foster, Chairman, President and Chief Executive Officer of Charles River Laboratories International, Inc. (the registrant)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30, 2024 of the registrant;</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r>
      <w:tr>
        <w:trPr>
          <w:trHeight w:val="27"/>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9"/>
        </w:trPr>
        <w:tc>
          <w:tcPr>
            <w:tcW w:w="4180" w:type="dxa"/>
            <w:vAlign w:val="bottom"/>
          </w:tcPr>
          <w:p>
            <w:pPr>
              <w:spacing w:after="0"/>
              <w:rPr>
                <w:sz w:val="14"/>
                <w:szCs w:val="14"/>
                <w:color w:val="auto"/>
              </w:rPr>
            </w:pPr>
          </w:p>
        </w:tc>
        <w:tc>
          <w:tcPr>
            <w:tcW w:w="63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r>
      <w:tr>
        <w:trPr>
          <w:trHeight w:val="184"/>
        </w:trPr>
        <w:tc>
          <w:tcPr>
            <w:tcW w:w="4180" w:type="dxa"/>
            <w:vAlign w:val="bottom"/>
          </w:tcPr>
          <w:p>
            <w:pPr>
              <w:spacing w:after="0"/>
              <w:rPr>
                <w:sz w:val="16"/>
                <w:szCs w:val="16"/>
                <w:color w:val="auto"/>
              </w:rPr>
            </w:pPr>
          </w:p>
        </w:tc>
        <w:tc>
          <w:tcPr>
            <w:tcW w:w="6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Flavia H. Pease, Corporate Executive Vice President and Chief Financial Officer of Charles River Laboratories International, Inc. (the registrant) certify that:</w:t>
      </w:r>
    </w:p>
    <w:p>
      <w:pPr>
        <w:spacing w:after="0" w:line="108"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30, 2024 of the registrant;</w:t>
      </w:r>
    </w:p>
    <w:p>
      <w:pPr>
        <w:spacing w:after="0" w:line="17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Flavia H. Pease</w:t>
            </w:r>
          </w:p>
        </w:tc>
      </w:tr>
      <w:tr>
        <w:trPr>
          <w:trHeight w:val="27"/>
        </w:trPr>
        <w:tc>
          <w:tcPr>
            <w:tcW w:w="406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169"/>
        </w:trPr>
        <w:tc>
          <w:tcPr>
            <w:tcW w:w="4060" w:type="dxa"/>
            <w:vAlign w:val="bottom"/>
          </w:tcPr>
          <w:p>
            <w:pPr>
              <w:spacing w:after="0"/>
              <w:rPr>
                <w:sz w:val="14"/>
                <w:szCs w:val="14"/>
                <w:color w:val="auto"/>
              </w:rPr>
            </w:pPr>
          </w:p>
        </w:tc>
        <w:tc>
          <w:tcPr>
            <w:tcW w:w="64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Flavia H. Pease</w:t>
            </w:r>
          </w:p>
        </w:tc>
      </w:tr>
      <w:tr>
        <w:trPr>
          <w:trHeight w:val="184"/>
        </w:trPr>
        <w:tc>
          <w:tcPr>
            <w:tcW w:w="4060" w:type="dxa"/>
            <w:vAlign w:val="bottom"/>
          </w:tcPr>
          <w:p>
            <w:pPr>
              <w:spacing w:after="0"/>
              <w:rPr>
                <w:sz w:val="16"/>
                <w:szCs w:val="16"/>
                <w:color w:val="auto"/>
              </w:rPr>
            </w:pPr>
          </w:p>
        </w:tc>
        <w:tc>
          <w:tcPr>
            <w:tcW w:w="64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March 30, 2024 of Charles River Laboratories International, Inc. (the “Company”) as filed with the Securities and Exchange Commission on the date hereof (the “Report”), the undersigned, James C. Foster, Chairman, President and Chief Executive Officer of the Company, and Flavia H. Pease, Corporate Executive Vice President and Chief Financial Officer of the Company, each hereby certifies, to the best of his knowledge and pursuant to 18 U.S.C. Section 1350, that:</w:t>
      </w:r>
    </w:p>
    <w:p>
      <w:pPr>
        <w:spacing w:after="0" w:line="180"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(the “Exchange Act”);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C. Foster</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69"/>
        </w:trPr>
        <w:tc>
          <w:tcPr>
            <w:tcW w:w="3620" w:type="dxa"/>
            <w:vAlign w:val="bottom"/>
          </w:tcPr>
          <w:p>
            <w:pPr>
              <w:spacing w:after="0"/>
              <w:rPr>
                <w:sz w:val="14"/>
                <w:szCs w:val="14"/>
                <w:color w:val="auto"/>
              </w:rPr>
            </w:pPr>
          </w:p>
        </w:tc>
        <w:tc>
          <w:tcPr>
            <w:tcW w:w="5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James C. Foster</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Chairman, President and Chief Executive Officer</w:t>
            </w:r>
          </w:p>
        </w:tc>
      </w:tr>
      <w:tr>
        <w:trPr>
          <w:trHeight w:val="2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r>
        <w:trPr>
          <w:trHeight w:val="446"/>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Flavia H. Pease</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412"/>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Flavia H. Pease</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9, 2024</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pacing w:after="0" w:line="200" w:lineRule="exact"/>
        <w:rPr>
          <w:sz w:val="20"/>
          <w:szCs w:val="20"/>
          <w:color w:val="auto"/>
        </w:rPr>
      </w:pPr>
    </w:p>
    <w:p>
      <w:pPr>
        <w:spacing w:after="0" w:line="254"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lvl w:ilvl="1">
      <w:lvlJc w:val="left"/>
      <w:lvlText w:val="(%2)"/>
      <w:numFmt w:val="decimal"/>
      <w:start w:val="1"/>
    </w:lvl>
  </w:abstractNum>
  <w:abstractNum w:abstractNumId="8">
    <w:nsid w:val="109CF92E"/>
    <w:multiLevelType w:val="hybridMultilevel"/>
    <w:lvl w:ilvl="0">
      <w:lvlJc w:val="left"/>
      <w:lvlText w:val="%1."/>
      <w:numFmt w:val="decimal"/>
      <w:start w:val="9"/>
    </w:lvl>
    <w:lvl w:ilvl="1">
      <w:lvlJc w:val="left"/>
      <w:lvlText w:val="%2"/>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2024-05-09T08:29:34Z</dcterms:created>
  <dcterms:modified xsi:type="dcterms:W3CDTF">2024-05-09T08:29:34Z</dcterms:modified>
</cp:coreProperties>
</file>